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89 vom 2. Februar 2023</w:t>
      </w:r>
    </w:p>
    <w:p>
      <w:r>
        <w:t>FR Kantonsgericht, 2023-02-02, FR</w:t>
      </w:r>
    </w:p>
    <w:p>
      <w:r>
        <w:rPr>
          <w:b/>
        </w:rPr>
        <w:t xml:space="preserve">Quelle: </w:t>
      </w:r>
      <w:r>
        <w:t>https://mcp.opencaselaw.ch/entscheid/fr_gerichte_601_2022_89</w:t>
      </w:r>
    </w:p>
    <w:p>
      <w:r>
        <w:t>FR: FR_GERICHTE 601 2022 89 du 2 février 2023</w:t>
      </w:r>
    </w:p>
    <w:p>
      <w:r>
        <w:t>IT: FR_GERICHTE 601 2022 89 del 2 febbraio 2023</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le recours est recevable en vertu des art. 7 de la loi fribourgeoise du 13 novembre 2007 d'application de la loi fédérale sur les étrangers (LALEI; RSF 114.22.1) et 79 ss du code fribourgeois du 23 mai 1991 de procédure et de juridiction administrative (CPJA; RSF 150.1). Le Tribunal cantonal peut dès lors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w:t>
      </w:r>
    </w:p>
    <w:p>
      <w:r>
        <w:t>Tribunal cantonal TC Page 4 de 7 prévues aux let. a à c de l'art. 78 al. 2 CPJA n'est réalisée, la Cour de céans ne peut pas, dans le cas particulier, revoir l'opportunité de la décision querellée.</w:t>
      </w:r>
    </w:p>
    <w:p>
      <w:r>
        <w:rPr>
          <w:b/>
        </w:rPr>
        <w:t>E. 2.1</w:t>
      </w:r>
    </w:p>
    <w:p>
      <w:r>
        <w:t>Selon l’art. 44 de la loi du 16 décembre 2005 sur les étrangers et l’intégration (LEI; RS 142.20), le conjoint étranger du titulaire d’une autorisation de séjour ainsi que ses enfants célibataires étrangers de moins de 18 ans peuvent obtenir une autorisation de séjour et la prolongation de celle-ci à condition notamment de vivre en ménage avec lui. L'art. 50 al. 1 LEI prévoit cependant qu'après la dissolution de la famille, le droit du conjoint à l'octroi d'une autorisation de séjour et la prolongation de sa durée de validité en vertu des art. 42 et 43 LEI subsiste dans les cas suivants: a. l'union conjugale a duré au moins trois ans et les critères d'intégration définis à l'art. 58a sont remplis, ou b. la poursuite du séjour en Suisse s'impose pour des raisons personnelles majeures; L'art. 50 LEI ne concerne toutefois que les conjoints qui ont eu droit à une autorisation de séjour en vertu des art. 42 et 43 LEI, à l'exclusion de l'art. 44 LEI, en cause dans le cas d'espèce (arrêt TF 2C_97/2017 du 27 juillet 2017 consid. 1.1). Selon la jurisprudence du Tribunal fédéral, l'art. 50 LEI s'applique toutefois également aux ressortissants d'Etats tiers venus en Suisse dans le cadre d'un regroupement familial fondé sur l'art. 3 par. 1 annexe I de l'accord du 21 juin 1999 entre la Confédération suisse, d’une part, et la Communauté européenne et ses États membres, d’autre part, sur la libre circulation des personnes (ALCP; RS 0.142.112.681) et ne disposant que d'un titre de séjour dérivé en Suisse, lorsque la personne ayant le droit originaire à la libre circulation en vertu de cet accord possédait une autorisation d'établissement ou dispose encore d'un titre de séjour en Suisse (arrêt TF 2C_616/2019 du 19 août 2019 consid. 5.1.2), ce qui est le cas en l'espèce dès lors que l'autorisation de séjour de B.________ est valable jusqu'au 30 novembre 2026. Cela étant, l'art. 77 de l'ordonnance du 24 octobre 2007 relative à l'admission, au séjour et à l'exercice d'une activité lucrative (OASA; RS 142.201) prévoit pour sa part que la poursuite du séjour en Suisse après la rupture de l'union conjugale des étrangers dont le conjoint était au bénéfice d'une seule autorisation de séjour peut être autorisée. Selon la jurisprudence, la période minimale de trois ans de l'union conjugale prévue à l'art. 50 al. 1 let. a LEI commence à courir dès le début de la cohabitation effective des époux en Suisse et s'achève au moment où ceux-ci cessent de faire ménage commun (ATF 140 II 345 consid. 4.1; 138 II 229 consid. 2; 136 II 113 consid. 3.3.3). La limite des trois ans est absolue et s'applique même s'il ne manque que quelques jours pour atteindre la durée des trente-six mois exigés par l'art. 50 al. 1 let. a LEI (arrêt TF 2C_647/2022 du 25 octobre 2022 consid. 4.2).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(ATF 140 II 345 consid.</w:t>
      </w:r>
    </w:p>
    <w:p>
      <w:r>
        <w:t>Tribunal cantonal TC Page 5 de 7 4.5.2; arrêt TF 2C_647/2022 du 25 octobre 2022 consid. 4.3). Il importe par ailleurs peu que le mariage se soit formellement poursuivi après la cessation de la vie commune (ATF 138 II 229 consid. 2; 136 II 113 consid. 3.2).</w:t>
      </w:r>
    </w:p>
    <w:p>
      <w:r>
        <w:rPr>
          <w:b/>
        </w:rPr>
        <w:t>E. 2.2</w:t>
      </w:r>
    </w:p>
    <w:p>
      <w:r>
        <w:t>En l'espèce, les faits suivants ressortent du dossier de l'autorité intimée. Le recourant est entré en Suisse le 25 octobre 2017 pour vivre avec son épouse. Alerté par un changement de domicile de celle-ci intervenu semble-t-il avec effet au 15 juillet 2020, le SPoMi a demandé à la Police cantonale de procéder à un contrôle qui a abouti au constat, début novembre 2020, que seul le recourant habitait au domicile conjugal, l'épouse s'étant établie à une autre adresse avec un autre homme. Cette constatation est corroborée par les déclarations de celui-ci lors de son audition du 10 juin 2021, au cours de laquelle il a exposé que l'épouse du recourant avait vécu en ménage avec lui d'octobre 2019 à janvier 2020, puis était retournée chez son mari, avant de vivre à nouveau en ménage avec lui de juillet à novembre 2020. Il ressort en outre des déclarations faites par l'épouse lors de son audition du même jour, qu'elle était séparée de son mari depuis une année, soit depuis juin 2020 environ. Lors d'un contrôle subséquent effectué en mai 2021, la Police cantonale a certes relevé qu'il semblait que le recourant et son épouse habitaient (à nouveau) ensemble à l'adresse indiquée. Le recourant, dans sa détermination au SPoMi du 22 février 2022, et son épouse, dans un courrier du 26 août 2021 à l'autorité indiquent en revanche que leur séparation est effective depuis le mois d'avril 2021 lorsque la précitée a décidé de demander le divorce, bien qu'ils aient continué à partager leur logement. Compte tenu de ce qui précède, force est de constater que, si les époux ont fait ménage commun du 25 octobre 2017 à octobre 2019, leur couple a eu des difficultés à partir de cette date, difficultés qui ont amené l'épouse à vivre à deux reprises avec un autre partenaire durant quelques mois. Elle a certes regagné le domicile conjugal de fin janvier à juin 2020, soit pendant cinq mois, puis à nouveau de décembre 2020 à avril 2021, soit à nouveau durant cinq mois. Compte tenu des circonstances, il est permis de douter de la réelle et ferme intention des époux, pendant ces périodes, de poursuivre leur union. Mais même s'il fallait considérer que l'union conjugale a été effective durant ces deux périodes, la durée totale de trois ans n'est quoi qu'il en soit pas atteinte. Partant, c'est à juste titre que l'autorité intimée a retenu que le recourant ne pouvait pas se prévaloir de l'art. 50 al. 1 let. a LEI, l'union conjugale avec son épouse ayant duré moins de trois ans.</w:t>
      </w:r>
    </w:p>
    <w:p>
      <w:r>
        <w:rPr>
          <w:b/>
        </w:rPr>
        <w:t>E. 2.3</w:t>
      </w:r>
    </w:p>
    <w:p>
      <w:r>
        <w:t>Les arguments que le recourant invoque à l'appui de son recours ne peuvent conduire à un résultat différent. Si les époux ont effectivement formé une communauté de vie pendant deux ans, de fin octobre 2017 à octobre 2019, la relation extra-conjugale de l'épouse a commencé en octobre 2019 déjà, même si le recourant n'en a – selon ses allégués – pas été informé. Or, le départ de son épouse du domicile conjugal d'octobre 2019 à janvier 2020 et de juillet à novembre 2020 devait bien l'alerter. Il ne peut dans ces circonstances être accordé trop de crédit à son affirmation selon laquelle il n'a eu connaissance de la relation extra-conjugale de son épouse qu'en avril 2021, et sa déclaration à ce sujet doit être considérée comme intéressée ("Schutzbehauptung"). Quant à l'épouse, dès lors qu'elle a vécu avec un autre partenaire, force est d'admettre que sa volonté de maintenir une union conjugale effective avec son mari faisait manifestement défaut, à tout le moins durant les périodes pendant lesquelles elle vivait en ménage commun avec un autre homme. Dans ces conditions, les périodes pendant lesquelles l'épouse a vécu avec ce dernier ne sauraient être comptabilisées comme attestant d'une volonté effective et sincère de poursuivre l'union conjugale.</w:t>
      </w:r>
    </w:p>
    <w:p>
      <w:r>
        <w:t>Tribunal cantonal TC Page 6 de 7</w:t>
      </w:r>
    </w:p>
    <w:p>
      <w:r>
        <w:rPr>
          <w:b/>
        </w:rPr>
        <w:t>E. 3.1</w:t>
      </w:r>
    </w:p>
    <w:p>
      <w:r>
        <w:t>Selon la jurisprudence, à partir du moment où la première condition de l'art. 50 LEI – l'existence d'une véritable union conjugale pendant au moins trois ans – n'est pas réalisée, il devient inutile de réunir en outre tous les éléments nécessaires pour examiner si la seconde condition – une intégration réussie – est remplie (cf. ATF 136 II 113 consid. 3.4).</w:t>
      </w:r>
    </w:p>
    <w:p>
      <w:r>
        <w:rPr>
          <w:b/>
        </w:rPr>
        <w:t>E. 3.2</w:t>
      </w:r>
    </w:p>
    <w:p>
      <w:r>
        <w:t>Il convient toutefois encore d'examiner si le recourant peut invoquer des raisons personnelles majeures, telles qu'énoncées par l’art. 50 al. 1 let. b LEI, et l'art. 77 al. 1 OASA.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et 77 al. 2 OASA). En l'espèce, les deux premières raisons n'entrent d'emblée pas en cause. En ce qui concerne le motif de la réintégration fortement compromise dans le pays d'origine,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arrêt TF 2C_731/2022 du 1er novembre 2022 consid. 5.4). Selon la jurisprudence, il incombe à celui qui sollicite une autorisation de séjour d'établir les faits pertinents aptes à permettre l’examen approfondi des conditions légales fixées. Le Tribunal fédéral a précisé que la maxime d’office, qui prévaut dans la procédure administrative, doit être relativisée par le devoir de collaboration de la partie en droit des étrangers. Ce devoir est d’autant plus étendu que la partie a elle-même initié la procédure ou qu’elle fait valoir des droits. Cette exigence se justifie particulièrement lorsque la partie connaît mieux l’état de fait que l’autorité et que, sans sa collaboration, les faits ne pourraient pas du tout être établis ou ne pourraient pas l’être au moyen d’investigations raisonnables. Dans les cas relevant du droit des étrangers, il appartient à l’évidence au requérant d’établir lui-même les circonstances personnelles à prendre en compte dans son pays d’origine qu'il allègue, vu la difficulté pour l’autorité administrative de procéder à des investigations. Des exigences élevées peuvent donc être posées en matière de collaboration à l’établissement des preuves dans ce cas (ATF 138 II 229 cconsid. 3.2.3; arrêt TF 2_732/2021 du 24 février 2022 consid. 3.2).</w:t>
      </w:r>
    </w:p>
    <w:p>
      <w:r>
        <w:rPr>
          <w:b/>
        </w:rPr>
        <w:t>E. 3.3</w:t>
      </w:r>
    </w:p>
    <w:p>
      <w:r>
        <w:t>En l'occurrence, le recourant n'a pas allégué que sa réintégration sociale dans son pays d'origine, le Kosovo, serait fortement comprise. Il s'est en effet limité à décrire son intégration sociale en Suisse, qu'il qualifie de largement réussie. Ce faisant, son argumentation manque sa cible. De plus, rien dans le dossier ne permet de penser qu'il ne sera pas en mesure de retrouver un emploi en cas de retour au Kosovo. L'intéressé, qui est jeune et en bonne santé, sera ainsi en mesure de se réintégrer dans son pays d'origine sans rencontrer de difficultés insurmontables. La situation sociale et économique générale du Kosovo ne justifie en outre pas la poursuite du séjour en vertu de l'art. 50 al. 1 let. b LEI, même si les conditions de vie sont moins favorables que celles dont le précité bénéfice en Suisse. Par ailleurs, le fait qu'il exerce une activité lucrative, n'a jamais émargé au chômage ou à l'aide sociale, et maîtrise la langue française, ne constitue pas une circonstance personnelle majeure pour considérer qu'il bénéficie d'une intégration exceptionnelle en Suisse et ne suffit pas à retenir que sa réintégration sociale dans son pays d'origine serait fortement compromise.</w:t>
      </w:r>
    </w:p>
    <w:p>
      <w:r>
        <w:t>Tribunal cantonal TC Page 7 de 7 Il apparaît ainsi que les conditions de l'art. 50 al. 1 let. b LEI et de l'art. 77 OASA ne sont pas réunies en l'espèce. Au regard des dispositions précitées mais également sous l'angle de l'art. 96 al. 1 LEI, on doit ainsi constater que l'autorité intimée n'a commis aucun abus ou excès de son pouvoir d'appréciation, ni violé la loi en refusant le renouvellement de l'autorisation de séjour au recourant et en ordonnant son renvoi de Suisse. Le recours, mal fondé, sera par conséquent rejeté et la décision de l'autorité intimée confirmée.</w:t>
      </w:r>
    </w:p>
    <w:p>
      <w:r>
        <w:rPr>
          <w:b/>
        </w:rPr>
        <w:t>E. 4</w:t>
      </w:r>
    </w:p>
    <w:p>
      <w:r>
        <w:t>Il appartient au recourant qui succombe de supporter les frais de procédure, en application de l'art. 131 CPJA. Pour la même raison, il ne lui est pas octroyé d'indemnité de partie (cf. art. 137 CPJA). la Cour arrête : I. Le recours est rejeté. II. Les frais de procédure, par CHF 800.-, sont mis à la charge de A.________.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 février 2023/dbe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