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 vom 11. April 2022</w:t>
      </w:r>
    </w:p>
    <w:p>
      <w:r>
        <w:t>FR Kantonsgericht, 2022-04-11, DE</w:t>
      </w:r>
    </w:p>
    <w:p>
      <w:r>
        <w:rPr>
          <w:b/>
        </w:rPr>
        <w:t xml:space="preserve">Quelle: </w:t>
      </w:r>
      <w:r>
        <w:t>https://mcp.opencaselaw.ch/entscheid/fr_gerichte_601_2022_4</w:t>
      </w:r>
    </w:p>
    <w:p>
      <w:r>
        <w:t>FR: FR_GERICHTE 601 2022 4 du 11 avril 2022</w:t>
      </w:r>
    </w:p>
    <w:p>
      <w:r>
        <w:t>IT: FR_GERICHTE 601 2022 4 del 11 aprile 2022</w:t>
      </w:r>
    </w:p>
    <w:p>
      <w:pPr>
        <w:pStyle w:val="Heading2"/>
      </w:pPr>
      <w:r>
        <w:t>Regeste</w:t>
      </w:r>
    </w:p>
    <w:p>
      <w:r>
        <w:t>Arrêt de la Ie Cour administrative du Tribunal cantonal | Straf- und Massnahmenvollzug</w:t>
      </w:r>
    </w:p>
    <w:p>
      <w:pPr>
        <w:pStyle w:val="Heading2"/>
      </w:pPr>
      <w:r>
        <w:t>Erwägungen</w:t>
      </w:r>
    </w:p>
    <w:p>
      <w:r>
        <w:rPr>
          <w:b/>
        </w:rPr>
        <w:t>E. 3</w:t>
      </w:r>
    </w:p>
    <w:p>
      <w:r>
        <w:t>octobre 1951 sur les stupéfiants et les substances psychotropes (LStup; RS 812.121) et contravention à la loi du 16 décembre 2005 sur les étrangers et l'intégration (LEI; RS 142.20); - par ordonnance pénale du 3 septembre 2021 du Ministère public du canton de Fribourg à une peine privative de liberté ferme de 10 jours, pour violation de domicile; - à 5 jours de peine privative de liberté de substitution, l'amende prononcée par le Ministère public du canton de Berne, Berner Oberland, du 25 mars 2020, non payée et inexécutable par la voie de la poursuite pour dettes, ayant été convertie; - à 18 jours de peine privative de liberté de substitution, les amendes prononcées par le Ministère public du canton de Berne, Parquet général, les 20 janvier, 22 avril (5 ordonnances pénales) et 29 avril 2020, non payées et inexécutables par la voie de la poursuite pour dettes, ayant été également converties. Tribunal cantonal TC Page 3 de 6 A.________ purge les peines liées à ces différentes condamnations depuis le 27 mai 2021. Depuis le 1er juin 2021, il est incarcéré à l'Etablissement de détention fribourgeois, site Bellechasse (ci- après: EDFR Bellechasse). Le terme de l'exécution des peines échoira le 1er juin 2022; le minimum légal des deux tiers a été atteint le 28 janvier 2022. Le 22 octobre 2021, la Direction de l'EDFR Bellechasse a préavisé défavorablement la libération conditionnelle de A.________, en raison d'un comportement en détention peu favorable, ponctué de sept sanctions disciplinaires, d'une attitude au travail insuffisante et de son refus de collaborer avec les autorités compétentes à l'organisation de son renvoi en Algérie. B. Par décision du 21 décembre 2021, le Service de l'exécution des sanctions pénales et de la probation (ci-après: SESPP) a refusé d'accorder à A.________ la libération conditionnelle aux deux tiers de sa peine, retenant qu'il est un récidiviste présentant un degré de maturité insatisfaisant, qu'il ne dispose d'aucun titre de séjour en Suisse et que ses projets d'avenir sont inexistants si ce n'est de s'occuper de son frère. Dans ce contexte, le SESPP a retenu que le pronostic était défavorable. C. Agissant le 20 janvier 2022, A.________ recourt auprès du Tribunal cantonal contre cette décision, en concluant implicitement à sa libération conditionnelle. Il fait valoir qu'il est en mesure de fournir un contrat de travail qui lui permettrait d'avoir un rythme de vie convenable et d'assurer sa réinsertion. D. Dans ses observations du 22 mars 2022, le SESPP propose le rejet du recours, pour les motifs développés dans sa décision. Il souligne qu'un contrat de travail ne change en rien le pronostic différentiel établi, dès lors qu'en raison du séjour illégal du recourant en Suisse, il n'a pas le droit d'y travailler. Aucun autre échange d'écritures n'a eu lieu entre parties. Il sera fait état de leurs arguments, dans les considérants de droit du présent arrêt, pour autant que cela soit utile à la solution du litige. en droit 1. 1.1. 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Tribunal cantonal TC Page 4 de 6 Toutefois, en vertu de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2. 2.1.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 2.2.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Tribunal cantonal TC Page 5 de 6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w:t>
      </w:r>
    </w:p>
    <w:p>
      <w:r>
        <w:rPr>
          <w:b/>
        </w:rPr>
        <w:t>E. 3.1</w:t>
      </w:r>
    </w:p>
    <w:p>
      <w:r>
        <w:t>En l'espèce, la condition de durée posée par l'art. 86 CP est remplie, le recourant, dont le terme de l'exécution de ses condamnations échoit le 1er juin 2022, ayant exécuté les deux tiers de sa peine le 28 janvier 2022.</w:t>
      </w:r>
    </w:p>
    <w:p>
      <w:r>
        <w:rPr>
          <w:b/>
        </w:rPr>
        <w:t>E. 3.2</w:t>
      </w:r>
    </w:p>
    <w:p>
      <w:r>
        <w:t>Pour apprécier le comportement du recourant au sens de l'art. 86 CP, le SESPP a sollicité le rapport de la direction de l'établissement, conformément à l'art. 86 al. 2 CP. Sur la base du préavis négatif émis par celui-ci et d'une appréciation globale de la situation, il a refusé d'accorder au recourant la libération conditionnelle aux deux tiers de sa peine. Son appréciation échappe à la critique.</w:t>
      </w:r>
    </w:p>
    <w:p>
      <w:r>
        <w:rPr>
          <w:b/>
        </w:rPr>
        <w:t>E. 3.2.1</w:t>
      </w:r>
    </w:p>
    <w:p>
      <w:r>
        <w:t>D'emblée, il importe de rappeler que, outre les nombreuses condamnations mentionnées dans la partie en fait de la présente décision, pour lesquelles il est actuellement en exécution de peine (103 jours de peine privative de liberté, respectivement de peine privative de liberté de substitution), le recourant – âgé de 28 ans – a été condamné à trois autres reprises pour des infractions similaires. Autrement dit, ses antécédents sont mauvais et postulent en principe une grande prudence en matière de libération conditionnelle, d'autant plus lorsque, comme en l'espèce, les condamnations et les peines antérieures n'ont eu aucun effet dissuasif, le recourant n'ayant jamais cessé de commettre des infractions de même nature. Dans de telles conditions, l'autorité intimée était dans tous les cas fondée à poser des exigences élevées pour justifier un élargissement aux deux tiers de la peine. Or, actuellement, le pronostic est défavorable.</w:t>
      </w:r>
    </w:p>
    <w:p>
      <w:r>
        <w:rPr>
          <w:b/>
        </w:rPr>
        <w:t>E. 3.2.2</w:t>
      </w:r>
    </w:p>
    <w:p>
      <w:r>
        <w:t>Il ressort du préavis du 22 octobre 2021 de la direction de l'EDFR Bellechasse que le recourant se montre discret. Avec le personnel, il a un comportement correct. Envers certains codétenus, il semble être un peu provocateur. Il ne présente que peu d'intérêt pour son travail en faisant seulement le minimum exigé. Durant son séjour, il a fait en outre l'objet de sept mesures disciplinaires, notamment pour perturbation du déroulement du travail et refus de travailler ainsi que consommation, apport, trafic et possession de drogues, d'alcool et d'autres substances. Partant, son comportement en détention ne lui est pas favorable.</w:t>
      </w:r>
    </w:p>
    <w:p>
      <w:r>
        <w:rPr>
          <w:b/>
        </w:rPr>
        <w:t>E. 3.2.3</w:t>
      </w:r>
    </w:p>
    <w:p>
      <w:r>
        <w:t>Cela étant, le recourant n'a surtout aucun projet de réinsertion réaliste si ce n'est de s'occuper de son frère malade. Dans son recours, il mentionne être en mesure de fournir un contrat de travail mais il ne l'a pas transmis, malgré la demande qui lui a été expressément faite. Cette attitude laxiste et peu empressée à cet égard démontre qu'il ne sera pas non plus prêt à prendre les choses en main, une fois à l'extérieur, et n’incite pas à lui faire confiance. Quoi qu'il en soit, l'intéressé, en séjour illégal en Suisse n'est pas autorisé à travailler. Or, sans autorisation de séjour dans le canton, ni Tribunal cantonal TC Page 6 de 6 travail, le risque qu'il ne récidive dans la commission d'infractions de même nature que celles pour lesquelles il purge actuellement sa peine est particulièrement grand. Enfin, il faut souligner qu'il a refusé de collaborer pour un retour dans son pays d'origine, ce qui autorise à penser qu'il préférera vivre dans la clandestinité, une fois libéré, quand bien même il a affirmé prévoir de quitter la Suisse, tout en prétendant en même temps vouloir s'occuper de son frère qui semble séjourner dans le pays. Dans ce contexte et tout bien pesé, le pronostic à établir lui est clairement défavorable.</w:t>
      </w:r>
    </w:p>
    <w:p>
      <w:r>
        <w:rPr>
          <w:b/>
        </w:rPr>
        <w:t>E. 4.1</w:t>
      </w:r>
    </w:p>
    <w:p>
      <w:r>
        <w:t>Au vu de l'ensemble des considérants qui précèdent, force est de constater que l'autorité intimée n'a pas violé la loi, ni commis un quelconque excès ou abus de son pouvoir d'appréciation en émettant un pronostic défavorable à l'encontre du recourant, en refusant sa libération conditionnelle aux deux tiers de l'exécution de sa peine et, partant, en ordonnant son maintien en détention. Partant, mal fondé, le recours doit être rejeté et la décision attaquée confirmée.</w:t>
      </w:r>
    </w:p>
    <w:p>
      <w:r>
        <w:rPr>
          <w:b/>
        </w:rPr>
        <w:t>E. 4.2</w:t>
      </w:r>
    </w:p>
    <w:p>
      <w:r>
        <w:t>Vu la situation financière du recourant, il est renoncé au prélèvement de frais de procédure, en application de l'art. 129 al. 1 let. a CPJA. la Cour arrête : I. Le recours est rejeté. II. Il est renoncé au prélèvement de frais de procédure III. Notification. Cette décision peut faire l'objet d'un recours auprès du Tribunal fédéral, à Lausanne, dans les 30 jours dès sa notification. Fribourg, le 11 avril 2022/ape/lmi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