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14 vom 4. März 2022</w:t>
      </w:r>
    </w:p>
    <w:p>
      <w:r>
        <w:t>FR Kantonsgericht, 2022-03-04, FR</w:t>
      </w:r>
    </w:p>
    <w:p>
      <w:r>
        <w:rPr>
          <w:b/>
        </w:rPr>
        <w:t xml:space="preserve">Quelle: </w:t>
      </w:r>
      <w:r>
        <w:t>https://mcp.opencaselaw.ch/entscheid/fr_gerichte_601_2022_14</w:t>
      </w:r>
    </w:p>
    <w:p>
      <w:r>
        <w:t>FR: FR_GERICHTE 601 2022 14 du 4 mars 2022</w:t>
      </w:r>
    </w:p>
    <w:p>
      <w:r>
        <w:t>IT: FR_GERICHTE 601 2022 14 del 4 marzo 2022</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sur les étranges (LALEI;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qu'en l'occurrence, il importe de relever que la recourante, arrivée dans le canton le 9 mai 2020, a bénéficié d'attestations de séjour afin de lui permettre d'effectuer les démarches en vue de son mariage annoncé; qu'au 30 juin 2021, aucune procédure en vue du mariage n'avait cependant été ouverte auprès du SAINEC (cf. pce 70 du dossier du SPoMi); que, dans ces conditions, le SPoMi a prononcé le refus d'autorisation de séjour en vue du mariage et ordonné le renvoi de Suisse de la requérante, par décision du 12 janvier 2022; qu'or, dans son recours, la précitée confirme que les fiancés ont renoncé au mariage et qu'elle réside désormais chez sa sœur qui habite dans le canton; qu'autrement dit, force est de constater que le but du séjour de la précitée dans le canton doit être considéré comme atteint et que, partant, la procédure relative à l'octroi d'une autorisation de séjour en vue du mariage est devenue sans objet; que, cependant, la recourante conteste son renvoi du pays, en invoquant son désir de vivre et travailler en Suisse,</w:t>
      </w:r>
    </w:p>
    <w:p>
      <w:r>
        <w:t>Tribunal cantonal TC Page 4 de 6 qu’à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arrêt TF 6B_173/2013 du 19 août 2013 consid. 2.4 et les références citées); qu’à titre exceptionnel,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par exemple la conclusion d’un contrat de travail, ne confèrent, à elles seules, aucun droit lors de la procédure d’autorisation (cf. art. 6 al. 2 OASA); que l'étranger ne peut prétendre à séjourner en Suisse durant la procédure, en application de l’art. 17 al. 2 LEI, que s’il est évident qu’il possède un droit à l’obtention d’une autorisation de séjour durable (arrêts TF 2C_35/2009 du 13 février 2009 consid. 6.5; 2D_98/2008 du 12 décembre 2008 consid. 4.3). Sauf cas manifeste révélant à première vue le droit de l’étranger à une autorisation de séjour, celui-ci doit en règle générale attendre à l’étranger le résultat de la procédure qu’il a initiée en vue de séjourner en Suisse (arrêts TC FR 601 2020 138 du 10 août 2020; 601 2016 6 du 25 février 2016; 601 2008 111 du 24 septembre 2009; 601 2008 35/36 du 30 juillet 2008); que la loi n’exige qu’un examen prima facie (arrêt TC FR 601 2017 81 du 29 juin 2017); que la personne étrangère n'a en principe pas un droit à la délivrance d'une autorisation de séjour, à moins qu'elle puisse se prévaloir d'une disposition particulière du droit fédéral ou d'un traité lui conférant un tel droit (ATF 141 II 169 consid. 4); qu’en l'occurrence, la recourante ne peut faire valoir aucun droit au séjour, à quelque titre que ce soit; qu’en particulier, elle ne saurait tirer un tel droit du fait de la présence de sa sœur dans le canton, ni d'ailleurs en raison de la durée de son séjour dans le pays, celui-ci étant de moins de deux ans; qu'au demeurant, l'octroi d'une autorisation de séjour en vue d'une activité salariée est subordonnée aux conditions fixées par l'art. 18 LEI, lesquelles, de prime abord, ne semblent pas réalisées; qu'aussi, et dans la mesure où la recourante ne dispose d'aucune autorisation de séjour dans le pays ni d'aucun droit à en obtenir une, l'autorité intimée était parfaitement légitimée à prononcer son renvoi, en application de l'art. 64 LEI; qu’en effet, selon cette disposition, les autorités compétentes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w:t>
      </w:r>
    </w:p>
    <w:p>
      <w:r>
        <w:t>Tribunal cantonal TC Page 5 de 6 qu’en l'occurrence, aucun motif particulier ne s'oppose au renvoi de recourante dans son pays d'origine; elle n'en invoque du reste pas; que, dans ces conditions, elle doit attendre à l'étranger l'issue de la procédure qu'elle annonce vouloir initier en vue de l'octroi d'une autorisation de séjour et de travail en Suisse; que, pour les motifs qui précèdent, le recours doit être rejeté, dans la mesure où il n'est pas devenu sans objet, et la décision de renvoi confirmée; que, dans la mesure où, par la présente décision, la Cour statue sur le fond du litige, la demande de restitution de l’effet suspensif au recours (601 2022 19) est devenue sans objet; que la recourante a par ailleurs requis l'octroi de l'assistance judiciaire complète (601 2022 15) et la désignation de sa mandataire choisie comme défenseure d'office;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 dans le cas particulier, et au vu des motifs évoqués ci-dessus, le recours était d'emblée et à l'évidence dénué de chance de succès; qu'il s'ensuit le rejet de la requête d'assistance judiciaire (601 2022 15); que, vu l'issue du recours, les frais judiciaires devraient être mis à la charge de la recourante qui succombe (art. 131 CPJA); qu'il convient toutefois d'y renoncer, en application de l'art. 129 CPJA, vu la situation précaire de la recourante; (dispositif sur la page suivante)</w:t>
      </w:r>
    </w:p>
    <w:p>
      <w:r>
        <w:t>Tribunal cantonal TC Page 6 de 6 la Cour arrête : I. Le recours est rejeté, dans la mesure où il n'est pas devenu sans objet. Partant, la décision du SPoMi du 12 janvier 2022, en tant qu'elle prononce le renvoi de Suisse de la recourante, est confirmée. II. La requête de restitution de l’effet suspensif (601 2022 19), devenue sans objet, est classée. III. La requête d’assistance judiciaire totale (601 2022 15) est rejetée. IV. Il est renoncé au prélèvement de frais de procédure. V. Notification. Cette décision peut faire l’objet d’un recours constitutionnel subsidiaire auprès du Tribunal fédéral, à Lausanne, dans les 30 jours dès sa notification. Fribourg, le 4 mars 2022/mju/lmi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