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132 vom 4. Mai 2023</w:t>
      </w:r>
    </w:p>
    <w:p>
      <w:r>
        <w:t>FR Kantonsgericht, 2023-05-04, FR</w:t>
      </w:r>
    </w:p>
    <w:p>
      <w:r>
        <w:rPr>
          <w:b/>
        </w:rPr>
        <w:t xml:space="preserve">Quelle: </w:t>
      </w:r>
      <w:r>
        <w:t>https://mcp.opencaselaw.ch/entscheid/fr_gerichte_601_2022_132</w:t>
      </w:r>
    </w:p>
    <w:p>
      <w:r>
        <w:t>FR: FR_GERICHTE 601 2022 132 du 4 mai 2023</w:t>
      </w:r>
    </w:p>
    <w:p>
      <w:r>
        <w:t>IT: FR_GERICHTE 601 2022 132 del 4 maggio 2023</w:t>
      </w:r>
    </w:p>
    <w:p>
      <w:pPr>
        <w:pStyle w:val="Heading2"/>
      </w:pPr>
      <w:r>
        <w:t>Regeste</w:t>
      </w:r>
    </w:p>
    <w:p>
      <w:r>
        <w:t>Arrêt de la Ie Cour administrative du Tribunal cantonal | Bürgerrecht, Niederlassung, Aufenthalt</w:t>
      </w:r>
    </w:p>
    <w:p>
      <w:pPr>
        <w:pStyle w:val="Heading2"/>
      </w:pPr>
      <w:r>
        <w:t>Erwägungen</w:t>
      </w:r>
    </w:p>
    <w:p>
      <w:r>
        <w:rPr>
          <w:b/>
        </w:rPr>
        <w:t>E. 21</w:t>
      </w:r>
    </w:p>
    <w:p>
      <w:r>
        <w:t>septembre 2017 consid. 4.1; TC FR 601 2014 16 du 27 mai 2014; JEANNERAT/MAHON, in Code annoté de droit des migrations, Volume II, Loi sur les étrangers, 2017, p. 580); qu'ainsi, il importe peu que l'interruption soit due à une cause volontaire ou en cas de détention à l'étranger du titulaire de l'autorisation (cf. arrêts TF 2C_512/2013 du 17 février 2014 consid. 2; 2C_43/2011 du 4 février 2011, consid. 2); qu’aux termes de l’art. 79 de l'ordonnance du 24 octobre 2007 relative à l’admission, au séjour et à l’exercice d’une activité lucrative (OASA; RS 142.201), les délais prévus à l'art. 61 al. 2 LEI ne sont pas interrompus en cas de séjour temporaire en Suisse à des fins de visite, de tourisme ou d'affaires (al. 1); que, lorsqu’une des causes d’extinction des permis de l’art. 61 LEI est réalisée, l'autorisation s'éteint de plein droit, c’est-à-dire qu’il n’est pas nécessaire qu’une autorité constate sa caducité pour ce que celle-ci intervienne (cf. JEANNERAT/MAHON, p. 574); qu’ainsi, l’éventuelle décision de l’autorité administrative a un caractère purement déclaratoire et l'autorité ne dispose pas dans ce cadre d'un pouvoir d'appréciation dans lequel le principe de la proportionnalité devrait être appliqué (cf. arrêt TF 2C_327/2013 du 23 octobre 2013 consid. 2.3; JEANNERAT/MAHON, p. 574); que l'art. 61 al. 2 dernière phrase LEI prévoit que, sur demande, l'autorisation d'établissement peut être maintenue pendant quatre ans;</w:t>
      </w:r>
    </w:p>
    <w:p>
      <w:r>
        <w:t>Tribunal cantonal TC Page 4 de 6 qu'aux termes de l'art. 79 al. 2 OASA, la demande de maintien de l’autorisation d’établissement doit être déposée avant l’échéance du délai de six mois. Elle sera adressée, dûment motivée, à l’autorité cantonale compétente en matière d’étrangers, qui statue librement dans les limites de sa compétence (cf. Directives et commentaires du Secrétariat d’État au migrations [ci-après: Directives SEM], domaine des étrangers, état au 1er mars 2023, ch. 3.5.3.2.3); que l'autorité se doit, même si elle n'est pas obligée d'accorder une telle prolongation, de statuer sur la demande et de motiver soigneusement l'éventuel refus de prolongation, comme à chaque fois qu'elle exerce un pouvoir d'appréciation (cf. arrêt TF 2C_461/2012 du 7 novembre 2012, consid. 2.4; JEANNERAT/MAHON, p. 584); qu'en particulier, le souhait ou la volonté de revenir et le fait de maintenir son centre d’intérêts en Suisse seront néanmoins pris en compte lors de l’éventuelle prolongation de l’autorisation d’établissement, respectivement de la question de l’interruption du délai de séjour. Il n’empêche qu’un tel souhait ou une telle volonté devrait en principe être concrétisé par une demande de prolongation de l’autorisation (cf. JEANNERAT/MAHON, p. 580); qu'il est précisé, dans le ch. 3.5.3.2.3 des Directives SEM, qu'une autorisation ne peut être maintenue – en cas d'absence à l'étranger de plus de six mois – que si le requérant a effectivement l'intention de revenir en Suisse dans un délai maximum de quatre ans; qu'une détention à l'étranger peut en principe également justifier le maintien d’une autorisation car elle implique généralement un séjour limité dans le temps à l'étranger. Ce type de séjour est donc comparable à d'autres séjours de nature provisoire à l'étranger (cf. arrêt TF 2C_461/2012 du 7 novembre 2012 consid. 2.2). Cependant, il suppose généralement l'existence d'un motif de révocation au sens de l'art. 63 LEI qui s'oppose à un maintien de l'autorisation (ch. 3.5.3.2.3 des Directives SEM); qu'en particulier, le fait que le séjour à l'étranger soit (éventuellement) motivé par un comportement punissable est pris en compte dans la mesure où l'autorisation d'établissement ne doit pas être prolongée si elle pourrait être révoquée (cf. art. 63 LEI). Il ne suffit pas qu'il y ait un motif de révocation, mais la révocation doit également être proportionnelle dans le cas concret (cf. art. 96 LEI; arrêts TF 2C_461/2012 du 7 novembre 2012 consid. 2.4.1; 2A.633/2006 du 26 janvier 2007 consid. 3.1; 2A.308/2001 du 15 novembre 2001 consid. 4e; ZÜND/ARQUINT HILL, in Uebersax et al. [éd.], Ausländerrecht, 2e éd. 2009, n. 8.10 p. 318 s.); que tel est notamment le cas si l'étranger a été condamné à une peine privative de liberté de longue durée (art. 62 al. 1 let. b en relation avec l'art. 63 al. 1 let. a LEI), soit, selon la jurisprudence, à une peine privative de liberté supérieure à un an, indépendamment du fait qu'elle ait été assortie d'un sursis complet ou partiel, ou prononcée sans sursis (cf. ATF 139 I 16 consid. 2.1; 139 I 31 consid. 2.1; 135 II 377 consid. 4.2 et 4.5); qu'en l'espèce, il est établi et non contesté que le recourant, incarcéré en France depuis le 25 mars 2022, puis sous contrôle judiciaire et interdit de quitter le territoire français depuis le 28 novembre 2022, a été absent de Suisse durant plus de six mois; que, partant, son autorisation d'établissement a en principe pris fin, de plein droit;</w:t>
      </w:r>
    </w:p>
    <w:p>
      <w:r>
        <w:t>Tribunal cantonal TC Page 5 de 6 que, néanmoins, force est de constater que le recourant a expressément demandé le maintien de son autorisation d'établissement, le 30 août 2022, soit avant l'échéance du délai de six mois (cf. art. 79 al. 2 OASA); qu'or, le SPoMi n'a nullement examiné cette demande et les motifs à l'appui de celle-ci, mais s'est limité à constater que l'autorisation d'établissement était échue; que, conformément à la jurisprudence exposée ci-dessus, il se devait pourtant de se déterminer sur le maintien de l'autorisation et de motiver un éventuel refus de prolongation, ce qu'il n'a pas fait; que, contrairement à l'avis exprimé par le SPoMi dans ses observations du 21 janvier 2023, la demande de maintien de l'autorisation d'établissement ne s'apparente pas à une nouvelle demande d'autorisation de séjour, laquelle peut être déposée une fois l'autorisation d'établissement échue; que, partant, il y a lieu d'admettre le recours, d'annuler la décision du SPoMi et de lui renvoyer la cause, en application de l'art. 98 al. 2 CPJA, charge à elle d'examiner la demande de maintien de l'autorisation d'établissement du recourant du 30 août 2022 et de statuer sur une éventuelle prolongation de celle-ci, conformément aux art. 61 al. 2 LEI et 79 al. 2 OASA; qu'en effet, la Cour de céans ne saurait substituer son appréciation à celle de l'autorité intimée, en particulier s'agissant de l'examen de la demande à l'aune de l'art. 63 LEI; que, vu l'issue de la procédure, il n'est pas perçu de frais de justice (cf. art. 133 CPJA); que le recourant, qui obtient gain de cause, a droit à une indemnité de partie (cf. art. 137 CPJA); que celle-ci est fixée globalement, en application de l'art. 11 al. 2 et 3 let. b du tarif cantonal du 17 décembre 1991 des frais de procédure et des indemnités en matière de juridiction administrative (Tarif JA; RSF 150.12), à CHF 2'000.-, TVA par CHF 161.70 en sus, soit à un total de CHF 2'261.70, mis à la charge de l'Etat de Fribourg; (dispositif en page suivante)</w:t>
      </w:r>
    </w:p>
    <w:p>
      <w:r>
        <w:t>Tribunal cantonal TC Page 6 de 6 la Cour arrête : I. Le recours est admis. Partant, la décision du 7 octobre 2022 est annulée et la cause renvoyée à l'autorité intimée pour nouvelle décision au sens des considérants. II. Il n'est pas perçu de frais de procédure. L'avance de frais versée par le recourant, soit la somme de CHF 1'000.-, lui est restituée. III. Un montant de CHF 2'154.- (y compris CHF 154.- de TVA) à verser à Me Adam Kasmi à titre d'indemnité de partie est mis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4 mai 2023/mju/gye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