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231 vom 29. März 2021</w:t>
      </w:r>
    </w:p>
    <w:p>
      <w:r>
        <w:t>FR Kantonsgericht, 2021-03-29, FR</w:t>
      </w:r>
    </w:p>
    <w:p>
      <w:r>
        <w:rPr>
          <w:b/>
        </w:rPr>
        <w:t xml:space="preserve">Quelle: </w:t>
      </w:r>
      <w:r>
        <w:t>https://mcp.opencaselaw.ch/entscheid/fr_gerichte_601_2020_231</w:t>
      </w:r>
    </w:p>
    <w:p>
      <w:r>
        <w:t>FR: FR_GERICHTE 601 2020 231 du 29 mars 2021</w:t>
      </w:r>
    </w:p>
    <w:p>
      <w:r>
        <w:t>IT: FR_GERICHTE 601 2020 231 del 29 marzo 2021</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cantonale du 13 novembre 2007 d'application de la loi sur les étranges (LALEI; RSF 114.22.1) et 79 ss du code fribourgeois du 23 mai 1991 de procédure et de juridiction</w:t>
      </w:r>
    </w:p>
    <w:p>
      <w:r>
        <w:t>Tribunal cantonal TC Page 3 de 7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selon l'art. 42 de la loi du 16 décembre 2005 sur les étrangers et l’intégration (LEI; RS 142.20),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qu'en l'espèce, du moment que les époux sont séparés et qu'il n'existe aucun indice concret d'une possibilité de reprise de la vie commune, le recourant ne peut manifestement plus invoquer son mariage pour obtenir une autorisation de séjour ou la prolongation de cette autorisation; que l'art. 50 al. 1 LEI prévoit qu'après la dissolution de la famille, le droit du conjoint et des enfants à l'octroi d'une autorisation de séjour et la prolongation de sa durée de validité en vertu des art. 42 et 43 LEI subsiste dans les cas suivants: a. l'union conjugale a duré au moins trois ans et les critères d’intégration définis à l’art 58a sont remplis, ou b. la poursuite du séjour en Suisse s'impose pour des raisons personnelles majeures; que, selon la jurisprudence, le renouvellement de l'autorisation de séjour requis sur la base de l'art. 50 al. 1 let. a LEI est soumis à deux conditions cumulatives (ATF 136 II 113 consid. 3.3.3). A partir du moment où la première condition - soit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soit une intégration réussie - est remplie (ATF 136 II 113 consid. 3.4; arrêt TF 2C_167/2010 du 3 août 2010 consid. 5.3). La condition que constitue le délai de trois ans est en outre absolue. En effet, même si la vie commune a cessé seulement quelques jours avant la fin du délai, cette condition n'est pas remplie et l'art. 50 al. 1 let. a LEI n'est pas applicable (cf. SPESCHA/KERLAND/BOLZLI, Handbuch zum Migrationsrecht, 2008, p. 233 s.);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LEI (ATF 136 II 113 consid. 3.3); que la notion d'union conjugale de l'art. 50 al. 1 let. a LEI ne se confond pas avec le mariage. Alors que ce dernier peut être purement formel, l'union conjugale implique en principe la vie en commun des époux, sous réserve des exceptions mentionnées à l'art. 49 LEI (cf. notamment ATF 136 II 113 consid. 3.2; arrêt du TF 2C_1258/2012 du 2 août 2013 consid. 4.1). On est en présence d'une communauté conjugale au sens de l'art. 50 LEI lorsque la relation conjugale est effectivement vécue et que les époux font preuve d'une volonté réciproque de vivre en union conjugale (cf. ATF 138 II 229 consid. 2; 137 II 345 consid. 3.1.2 et arrêt TF 2C_340/2013 du 28 juin 2013 consid. 2.1). Ainsi, l'existence d'un ménage commun n'implique pas forcément celle d'une communauté</w:t>
      </w:r>
    </w:p>
    <w:p>
      <w:r>
        <w:t>Tribunal cantonal TC Page 4 de 7 conjugale effective. En effet, compte tenu des circonstances d'un cas concret, il se peut que, malgré l'existence d'un domicile commun des époux, la communauté conjugale ne soit déjà plus donnée (cf. arrêt TF 2C_970/2016 du 6 mars 2017 consid. 2.4); qu'en l'espèce, la communauté conjugale a duré sept mois - d’avril à novembre 2019 - de sorte que le recourant ne peut pas se prévaloir du droit au séjour prévu par l’art. 50 al. 1 let. a LEtr et la question de son intégration dans le pays ne se pose dès lors pas (cf. ATF 136 II 113 consid. 3.4; arrêt TF 2C_167/2010 du 3 août 2010); que celui-ci fait toutefois valoir que la poursuite de son séjour en Suisse s'impose pour des raisons personnelles majeures, au sens de l'art. 50 al. 1 let. b LEI; que,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que, selon les Directives du SEM (Directives LEI, octobre 2013, dans leur teneur actualisée au 1er janvier 2021, ch. 6.15.3),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Il n’est toutefois pas nécessaire que l’auteur de la violence ait été condamné pénalement pour qu’elle soit reconnue au sens de l’art. 50 al. 2 LEI. Il est par contre évident qu’un jugement pénal constitue une preuve plus probante que de simples déclarations (ATF 136 II 1 consid. 5.3; 138 II 229 consid. 3.3.3; arrêts TF</w:t>
      </w:r>
    </w:p>
    <w:p>
      <w:r>
        <w:t>Tribunal cantonal TC Page 5 de 7 2C_282/2010 du 3 mai 2011 consid. 3.3; 2C_759/2010 du 28 janvier 2011 consid. 5.2.1; 2C_590/2010 du 29 novembre 2010 consid. 2.5.3; 2C_821/2011 du 22 juin 2012). Le Tribunal fédéral n’a ainsi pas admis l’existence de raisons personnelles majeures lorsque l’étranger a été expulsé par son conjoint après une dispute sans que la victime n'invoque par la suite des séquelles corporelles ou psychiques (arrêt TF 2C_155/2011 du 7 juillet 2011 consid. 4.3 et la référence citée). Il a cependant reconnu qu'un acte de violence isolé, mais particulièrement grave, tel qu'une tentative de meurtre, pouvait à lui seul conduire à admettre l'existence de raisons personnelles majeures au sens de l'art. 50 al. 1 let. b et al. 2 LEI (arrêt TF 2C_982/2010 du 3 mai 2011 et référence citée, consid. 3.3); que la violence conjugale au sens de l’art. 50 al. 2 LEI peut être tant de nature physique que psychique. L’exercice de pressions psychologiques ou socio-économiques ainsi que les insultes permanentes, les humiliations, les menaces et le sentiment de réclusion peuvent atteindre le degré déterminant d’oppression pour l’admission d’un cas de rigueur aux conditions développées ci- dessus, soit lorsque l’intégrité psychique de la victime serait lourdement lésée en cas de maintien de la communauté conjugale. L’oppression domestique suppose une maltraitance systématique qui a pour objectif d’exercer le pouvoir et le contrôle (ATF 138 II 229 consid. 3.2.2); que l’art. 77 OASA précise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qu'en matière de violences conjugales et jusqu'à une certaine limite, le ressenti et l'attitude des victimes ne sont pas uniformes. C'est pourquoi, la loi laisse aux autorités une certaine liberté d'appréciation humanitaire. Il est donc important de cerner avec précision les circonstances avant d'admettre l'existence de violences conjugales d'une intensité suffisante justifiant l'admission d'un cas de rigueur (cf. arrêt TC FR 601 2016 157 du 4 avril 2017); que, selon la jurisprudence, il incombe à celui qui sollicite une autorisation de séjour - ou son renouvellement -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w:t>
      </w:r>
    </w:p>
    <w:p>
      <w:r>
        <w:t>Tribunal cantonal TC Page 6 de 7 qu'en l'occurrence, le recourant invoque avoir été victime de violences conjugales pendant plusieurs mois et prétend à ce titre pouvoir poursuivre le séjour dans le pays malgré la séparation d’avec son épouse; que, cependant, la maltraitance qu’il invoque n’est pas établie de manière probante; qu’en effet, il y a lieu de constater que l’intéressé n’a jamais déposé plainte pénale contre son épouse; que les certificats médicaux qu’il a produits ne permettent pas d’établir l’existence d’un lien direct entre les problèmes psychiques qu’il rencontre et les violences conjugales qu’il invoque; que, surtout, force est de constater qu’il a continué à vivre en ménage commun avec son épouse jusqu’à ce que cette dernière quitte le domicile conjugal, le 19 novembre 2019; qu’à ce propos, lorsque le SPoMi lui a demandé s’il envisageait divorcer, le recourant a répondu qu’il voulait donner du temps à son couple pour arranger la situation, étant donné qu’il avait encore des sentiments pour son épouse; que, dans ces circonstances, on doit admettre que la violence conjugale invoquée n’a pas revêtu une intensité telle qu’elle a empêché la poursuite de l’union conjugale. Comme telle, elle ne peut dès lors pas constituer une raison personnelle majeure, au sens de l’art. 50 al. 1 let. b LEI, apte à justifier le maintien de l’autorisation de séjour; que, par ailleurs, la réintégration du recourant dans son pays d'origine ne devrait pas présenter de difficulté particulière du fait de la rupture de son mariage; que, partant, les conditions de l'art. 50 al. 1 let. b LEI ne sont pas réunies; que, pour le reste, aucun autre motif spécial ne justifie d'accorder au recourant, séparé de son épouse après moins de trois ans de mariage en Suisse et sans enfant issu de cette union,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En effet, le recourant ne peut prétendre que durant les quelque trois années passées en Suisse, il y aurait créé des liens si étroits qu'un retour dans son pays d’origine ne serait plus envisageable. Les simples relations de travail, d’amitié ou de voisinages noués pendant le séjour ne constituent pas des liens justifiant une dérogation aux règles ordinaires de police des étrangers (ATF 130 III 39 consid. 3). En revanche, la présence de liens conservés avec le pays d'origine est susceptible de faciliter la réintégration (cf. arrêt TAF C-636/2010 du 14 décembre 2010 consid. 5.3 et la référence citée). Au surplus, il convient de rappeler qu’il est entré en Suisse pour études, soit pour un séjour nécessairement temporaire; qu'il y a lieu dès lors de replacer le recourant dans la situation applicable aux ressortissants de son pays qui n'obtiennent normalement pas, sans droit spécifique, une autorisation de résider en Suisse; qu'en résumé, si l'on examine tous les intérêts en présence, tant au regard de l'art. 50 al. 2 LEI que de l'art. 96 al. 1 LEI, on doit constater que l'autorité intimée n'a commis aucun abus ou excès de son pouvoir d'appréciation, ni violé la loi en refusant le renouvellement de l'autorisation de séjour; que le refus d'autorisation de séjour entraîne le renvoi du recourant, en application de l'art. 64 al. 1 let. c LEI;</w:t>
      </w:r>
    </w:p>
    <w:p>
      <w:r>
        <w:t>Tribunal cantonal TC Page 7 de 7 qu'à juste titre le SPoMi a constaté que rien en l'espèce ne s'opposait au renvoi du recourant en Colombie, où il a vécu la majeure partie de sa vie et où, nécessairement, il a encore des attaches; que, selon le Département fédéral des affaires étrangères, la situation politique peut être qualifiée de relativement stable en Colombie et que, de plus, le recourant est originaire de Bogota, ville relativement sûre (https://www.eda.admin.ch/eda/fr/dfae/representations-et-conseils-aux- voyageurs/colombie/conseils-voyageurs-colombie.html#, consulté le 29.03.2021), de sorte que le renvoi du recourant dans son pays d’origine est parfaitement admissible; que, pour le reste, le recourant a demandé subsidiairement la prolongation du délai qui lui a été imparti par le SPoMi pour quitter le pays; qu’or, en raison du temps écoulé depuis le dépôt de son recours, il aura bénéficié de quatre mois supplémentaires pour organiser son retour dans son pays d’origine; que, mal fondé, le recours doit dès lors être rejeté; qu'il appartient au recourant qui succombe de supporter les frais de procédure en application de l'art. 131 CPJA; que cependant, vu de la situation financière difficile de l'intéressé, il se justifie de renoncer au prélèvement de frais de procédure (art. 129 CPJA). Partant, la requête d'assistance judiciaire partielle (601 2020 232), devenue sans objet, est rayée du rôle; la Cour arrête : I. Le recours (601 2020 231) est rejeté. II. Il n’est pas perçu de frais de procédure. III. La demande d'assistance judiciaire partielle (601 2020 232), devenue sans objet, est classée. IV. Notification. Cette décision peut faire l'objet d'un recours auprès du Tribunal fédéral, à Lausanne, dans les 30 jours dès sa notification. Fribourg, le 29 mars 2021mju/det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