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230 vom 16. April 2021</w:t>
      </w:r>
    </w:p>
    <w:p>
      <w:r>
        <w:t>FR Kantonsgericht, 2021-04-16, FR</w:t>
      </w:r>
    </w:p>
    <w:p>
      <w:r>
        <w:rPr>
          <w:b/>
        </w:rPr>
        <w:t xml:space="preserve">Quelle: </w:t>
      </w:r>
      <w:r>
        <w:t>https://mcp.opencaselaw.ch/entscheid/fr_gerichte_601_2020_230</w:t>
      </w:r>
    </w:p>
    <w:p>
      <w:r>
        <w:t>FR: FR_GERICHTE 601 2020 230 du 16 avril 2021</w:t>
      </w:r>
    </w:p>
    <w:p>
      <w:r>
        <w:t>IT: FR_GERICHTE 601 2020 230 del 16 aprile 2021</w:t>
      </w:r>
    </w:p>
    <w:p>
      <w:pPr>
        <w:pStyle w:val="Heading2"/>
      </w:pPr>
      <w:r>
        <w:t>Regeste</w:t>
      </w:r>
    </w:p>
    <w:p>
      <w:r>
        <w:t>Arrêt de la Ie Cour administrative du Tribunal cantonal | Bürgerrecht, Niederlassung, Aufenthalt</w:t>
      </w:r>
    </w:p>
    <w:p>
      <w:pPr>
        <w:pStyle w:val="Heading2"/>
      </w:pPr>
      <w:r>
        <w:t>Erwägungen</w:t>
      </w:r>
    </w:p>
    <w:p>
      <w:r>
        <w:rPr>
          <w:b/>
        </w:rPr>
        <w:t>E. 24</w:t>
      </w:r>
    </w:p>
    <w:p>
      <w:r>
        <w:t>octobre 2007 relative à l'admission, au séjour et l'exercice d'une activité lucrative, OASA; RS 142.201); que, par raisons personnelles majeures, il faut entendre des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w:t>
      </w:r>
    </w:p>
    <w:p>
      <w:r>
        <w:t>Tribunal cantonal TC Page 5 de 7 problème particulier" (Message du Conseil fédéral du 8 mars 2002 concernant la LEtr, FF 2002 II p. 3510 s); que, selon les Directives du SEM (Directives LEI, octobre 2013, dans leur teneur actualisée au 1er janvier 2021, ch. 6.15.3), les conditions posées par les art. 50 al. 2 LEI et 77 al. 1 let. b OASA ne sont pas cumulatives. L'une et l'autre peuvent donc constituer une raison personnelle majeure. Les motifs justifiant la poursuite du séjour en Suisse n'étant pas précisés de manière exhaustive, les autorités disposent d'une certaine marge d'appréciation (ATF 136 II 1 consid. 4 et 5; arrêt TF 2C_467/2012 du 25 janvier 2013 consid. 2.1.3); que, concernant la réintégration sociale dans le pays de provenance au sens de l’art. 50 al. 2 LEI,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TF 2C_196/2014 du 19 mai 2014 consid. 4.1 et les références citées); que, selon la jurisprudence, il incombe à celui qui sollicite une autorisation de séjour d'établir les faits pertinents aptes à permettre l’examen approfondi des conditions légales fixées. Le Tribunal fédéral a précisé que la maxime d’office, qui prévaut dans la procédure administrative, doit être relativisée par le devoir de collaboration de la partie (cf. art. 45 et 47 CPJA). Ce devoir est d’autant plus étendu que la partie a elle-même initié la procédure ou qu’elle fait valoir des droits. Cette exigence se justifie particulièrement lorsque la partie connaît mieux l’état de fait que l’autorité et que, sans sa collaboration, les faits ne pourraient pas du tout être établis ou ne pourraient pas l’être au moyen d’investigations raisonnables. Dans le cas relevant du droit des étrangers, il appartient à l’évidence au requérant d’établir lui-même les circonstances personnelles à prendre en compte dans son pays d’origine qu'il allègue, vu la difficulté pour l’autorité administrative de procéder à des investigations (ATF 124 II 361 consid. 2b). Des exigences élevées peuvent donc être posées en matière de collaboration à l’établissement des preuves dans ce cas (ATF 124 II 361 consid. 4c; arrêts TC FR 601 2019 154 du 27 janvier 2020; 2016 170/171 du 25 août 2017); qu'en exerçant leur pouvoir d'appréciation, les autorités compétentes doivent tenir compte de l'intérêt public, de la situation personnelle de l'étranger, ainsi que de son degré d'intégration (art. 96 al. 1 LEI); que cette disposition traduit, parmi d’autres, l’obligation des autorités de respecter le principe de la proportionnalité; que, pour statuer sur la proportionnalité de la mesure litigieuse, il convient de prendre en considération tous les éléments du cas d'espèce, notamment la durée du séjour en Suisse, les relations sociales, familiales et professionnelles, ainsi que les conséquences d’un éventuel renvoi (arrêt TF 2C_456/2012 du 1er octobre 2012 consid. 3.4 et les références citées); qu’en l’espèce, s’il faut certes souligner son investissement professionnel, l’intégration du recourant n’est pas exceptionnelle au point qu’elle justifie, sous l’angle de la proportionnalité, la poursuite de son séjour en Suisse; que les lettres de la fille de son ex-épouse, de son employeur, de son oncle et de sa tante qu’il produit ne modifient en rien cette appréciation; qu'aucun autre motif spécial ne justifie d'accorder à l'intéressé, séparé de son épouse après moins de trois ans de mariage en Suisse et sans enfant issu de cette union, une autorisation de séjour</w:t>
      </w:r>
    </w:p>
    <w:p>
      <w:r>
        <w:t>Tribunal cantonal TC Page 6 de 7 nouvelle et indépendante du regroupement familial et de ses suites. En particulier, les conditions de l'art. 30 al. 1 let. b LEI - qui permet de tenir compte des cas individuels d'une extrême gravité ou d'intérêts publics majeurs - ne sont manifestement pas réalisées. En effet, le recourant ne peut pas prétendre que durant les trente mois passés en Suisse, il y aurait créé des liens si étroits qu'un retour dans son pays d’origine ne serait plus envisageable. Les simples relations de travail, d’amitié ou de voisinages noués pendant le séjour ne constituent pas des liens justifiant une dérogation aux règles ordinaires de police des étrangers (cf. ATF 130 III 39 consid. 3); qu'en revanche, la présence de liens conservés avec le pays d'origine est susceptible de faciliter la réintégration (cf. arrêt TAF C-636/2010 du 14 décembre 2010 consid. 5.3 et la référence citée), étant souligné que le fils et la mère du précité, qui dépendent financièrement de lui, vivent au Brésil; qu'il y a lieu dès lors de replacer le recourant dans la situation applicable aux ressortissants de son pays qui n'obtiennent normalement pas, sans droit spécifique, une autorisation de résider en Suisse; qu'en résumé, si l'on examine tous les intérêts en présence, tant au regard de l'art. 50 al. 2 LEI que de l'art. 96 al. 1 LEI, on doit constater que l'autorité intimée n'a commis aucun abus ou excès de son pouvoir d'appréciation, ni violé la loi en refusant le renouvellement de l'autorisation de séjour du recourant; que le refus d'autorisation de séjour entraîne le renvoi de ce dernier, en application de l'art. 64 al. 1 let. c LEI; qu'à juste titre, le SPoMi a constaté que rien en l'espèce ne s'opposait au renvoi de l'intéressé au Brésil, où il a vécu la majeure partie de sa vie et où vivent sa mère et son fils; que, selon le Département fédéral des affaires étrangères, le Brésil peut être qualifié de stable, même si la situation politique et économique traverse une phase tendue (www.eda.admin.ch/eda/fr/dfae/representations-et-conseils-aux-voyageurs/bresil/conseils- voyageurs-bresil.html#par_textimage_0, consulté le 14 avril 2021), de sorte que le renvoi de l'intéressé dans son pays d’origine est parfaitement admissible; que le fait que la situation économique y soit moins florissante qu'en Suisse ne saurait lui permettre de rester; qu'à cet égard, on peut relever que l'expérience professionnelle acquise ici pourrait, quoi qu'il en pense, lui conférer un certain avantage dans la recherche d'un emploi dans son pays; que, dans le contexte de la pandémie actuelle, le recourant se prévaut de ce qu'il serait personne à risque, comme sa mère, ce qui constituerait un obstacle à son renvoi; que la pandémie ne s'oppose pas non plus à ce dernier. Il s'agit là au mieux d'un obstacle temporaire dont les autorités cantonales devront cas échéant tenir compte dans le cadre des modalités d'exécution du renvoi, en ce sens que le moment déterminant doit être fonction de la situation au Brésil (cf. arrêts TAF D-4660/2019 du 19 mai 2020 consid. 9.3.5; E-1312/2020 du 5 mai 2020 consid. 11.6, D-4796/2019 du 27 avril 2020 consid. 8.9); que, dans ces circonstances, il n'y a pas lieu d'accorder pour ce seul motif une autorisation de séjour à l'intéressé; que, par ailleurs, le fait de pouvoir cas échéant obtenir en Suisse des prestations médicales supérieures à celles offertes dans le pays d'origine ne suffit pas à justifier la reconnaissance d'un</w:t>
      </w:r>
    </w:p>
    <w:p>
      <w:r>
        <w:t>Tribunal cantonal TC Page 7 de 7 cas de rigueur en vertu de l'art. 31. al. 1 OASA (cf. ATF 128 II 200 consid. 5.3 ; arrêt du TF 2C_959/2011 du 22 février 2012 consid. 3.2); que, partant, l'on ne peut pas reprocher à l'autorité intimée un quelconque excès ou abus de son pouvoir d'appréciation; que le refus de renouveler le permis de séjour, impliquant le renvoi du recourant, s'avère proportionné en tous points; que, pour les motifs qui précèdent, le recours, mal fondé, doit être rejeté et la décision de l'autorité intimée confirmée; qu'il appartient au recourant qui succombe de supporter les frais de procédure, en application de l'art. 131 CPJA; que, pour la même raison, il ne lui est pas octroyé d'indemnité de partie (cf. art. 137 CPJA); la Cour arrête : I. Le recours est rejeté. II. Les frais de procédure, par CHF 800.-, sont mis à la charge du recourant. Ils sont compensés par l'avance de frais de CHF 800.- qu'il a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16 avril 2021/ape/det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