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211 vom 11. Mai 2021</w:t>
      </w:r>
    </w:p>
    <w:p>
      <w:r>
        <w:t>FR Kantonsgericht, 2021-05-11, FR</w:t>
      </w:r>
    </w:p>
    <w:p>
      <w:r>
        <w:rPr>
          <w:b/>
        </w:rPr>
        <w:t xml:space="preserve">Quelle: </w:t>
      </w:r>
      <w:r>
        <w:t>https://mcp.opencaselaw.ch/entscheid/fr_gerichte_601_2020_211</w:t>
      </w:r>
    </w:p>
    <w:p>
      <w:r>
        <w:t>FR: FR_GERICHTE 601 2020 211 du 11 mai 2021</w:t>
      </w:r>
    </w:p>
    <w:p>
      <w:r>
        <w:t>IT: FR_GERICHTE 601 2020 211 del 11 maggio 2021</w:t>
      </w:r>
    </w:p>
    <w:p>
      <w:pPr>
        <w:pStyle w:val="Heading2"/>
      </w:pPr>
      <w:r>
        <w:t>Regeste</w:t>
      </w:r>
    </w:p>
    <w:p>
      <w:r>
        <w:t>Arrêt de la Ie Cour administrative du Tribunal cantonal | Gemeindeangelegenheiten</w:t>
      </w:r>
    </w:p>
    <w:p>
      <w:pPr>
        <w:pStyle w:val="Heading2"/>
      </w:pPr>
      <w:r>
        <w:t>Erwägungen</w:t>
      </w:r>
    </w:p>
    <w:p>
      <w:r>
        <w:rPr>
          <w:b/>
        </w:rPr>
        <w:t>E. 2</w:t>
      </w:r>
    </w:p>
    <w:p>
      <w:r>
        <w:t>octobre 2020, quand bien même il n'a pas expliqué en quoi consisteraient précisément les problèmes en suspens que le passage personnel de l'intéressé auprès de l'administration communale pourrait résoudre. Dans ces circonstances, pour autant qu'il y ait eu violation du droit d'être entendu de la part de la commune, elle devrait être considérée comme réparée au stade de la procédure de recours qui a suivi. On ne voit en particulier pas en quoi cette réparation ferait subir au recourant un quelconque désavantage, lequel exclurait cas échéant la guérison du vice de forme. Partant, le grief invoqué doit être rejeté. Quant aux frais de procédure devant l’autorité intimée, le recourant s'y oppose, en lien avec la violation alléguée de son droit d'être entendu par la commune. Toutefois, c’est à juste titre que le Lieutenant de Préfet a considéré que la jurisprudence invoquée, laquelle porte sur l'octroi d'une indemnité de partie à un recourant dont le mandataire n'avait obtenu accès à son dossier qu'avec la notification de la décision sur opposition (cf. arrêt TF 8C_738/2014 du 15 janvier 2015 consid. 7), ne pouvait pas s’appliquer au cas d’espèce. Au surplus, l’argument selon lequel ces frais devaient être mis à charge de la commune en application de l’art. 131 al. 2 CPJA ne saurait être retenu, celle-ci, en sa qualité de collectivité publique, ne pouvant être condamnée à des frais, en application de l'art. 133 CPJA. De plus, la violation crasse du droit d'être entendu remise en cause dans l'arrêt dont se targue le recourant ne saurait être comparée à la motivation quelque peu laconique que l'on peut tout au plus reprocher à la commune. Partant, l’autorité intimée n’a pas excédé ou abusé de son pouvoir d’appréciation en réglant le sort des frais de procédure selon le régime usuel de l’art. 131 al. 1 CPJA, soit en les faisant supporter à la partie qui succombe, sans les réduire de quelconque manière (cf. sur la question, arrêts TF 1C_98/2012 du 7 août 2012 consid. 9.3; 1C_360/2017 du 14 mars 2018 consid. 12).</w:t>
      </w:r>
    </w:p>
    <w:p>
      <w:r>
        <w:t>Tribunal cantonal TC Page 6 de 10</w:t>
      </w:r>
    </w:p>
    <w:p>
      <w:r>
        <w:rPr>
          <w:b/>
        </w:rPr>
        <w:t>E. 2.1</w:t>
      </w:r>
    </w:p>
    <w:p>
      <w:r>
        <w:t>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(cf. ATF 124 II 132 consid. 2b; 126 I 15 consid. 2a/aa). Le devoir de motiver résulte, en l'absence de dispositions cantonales suffisantes, du respect du principe du droit d'être entendu garanti par l'art. 29 al. 2 Cst (cf.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(cf.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(cf.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(cf. ATF 121 I 54 consid. 2c; arrêt TC FR 603 2016 151 du 9 mars 2017 consid. 5a).</w:t>
      </w:r>
    </w:p>
    <w:p>
      <w:r>
        <w:t>Tribunal cantonal TC Page 5 de 10 Une violation du droit d'être entendu peut toutefois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(cf. ATF 126 I 68 consid. 2). Une réparation de la violation du droit d'être entendu par l'autorité de recours peut néanmoins se justifier en présence d'un vice grave lorsque le renvoi constituerait une vaine formalité et aboutirait à un allongement inutile de la procédure (cf. ATF 133 I 201 consid. 2.2; arrêt TF 1C_265/2009 du 7 octobre 2009; arrêt TC FR 602 2020 41 du 24 juillet 2020).</w:t>
      </w:r>
    </w:p>
    <w:p>
      <w:r>
        <w:rPr>
          <w:b/>
        </w:rPr>
        <w:t>E. 2.2</w:t>
      </w:r>
    </w:p>
    <w:p>
      <w:r>
        <w:t>En l’occurrence, dans sa décision du 15 janvier 2020, la commune a octroyé un ultime délai au recourant pour déposer son acte d’origine, en lui rappelant qu’il s’agissait d’une obligation prévue dans la législation cantonale, figurant aux art. 8 al. 2 et 10 al. 2 LCH. En revanche, elle ne s’est pas déterminée sur le grief d’inconstitutionnalité de ces normes bien que le recourant ait insisté sur ce point. Or, si l'on peut regretter qu'elle n'ait pas développé sa réponse et répondu à certains des arguments du recourant, il n'en demeure pas moins que la commune s'est référée aux dispositions topiques et, celles-ci étant toujours en vigueur, elle a constaté que l'obligation de déposer l'acte d'origine auprès de son administration demeurait. Cela n'a pas empêché le recourant d'attaquer la décision auprès de la Préfecture. Surtout, le Lieutenant de Préfet – qui dispose du même pouvoir de cognition que la commune – s’est quant à lui largement déterminé sur la constitutionnalité des normes précitées dans sa décision du</w:t>
      </w:r>
    </w:p>
    <w:p>
      <w:r>
        <w:rPr>
          <w:b/>
        </w:rPr>
        <w:t>E. 3.1</w:t>
      </w:r>
    </w:p>
    <w:p>
      <w:r>
        <w:t>L’art. 8 al. 2 LCH prévoit que les ressortissants suisses qui s'établissent dans la commune y déposent leur acte d'origine ou, à défaut, un document équivalent délivré par les autorités compétentes de l'état civil. D'après l'art. 6 al. 2 LCH, les personnes majeures se présentent personnellement pour annoncer leur arrivée, à moins d'en avoir été dispensées pour de justes motifs par le préposé; un conjoint ou un partenaire enregistré peut toutefois faire l'annonce pour l'autre conjoint ou partenaire. Les communes peuvent prévoir la possibilité d'une annonce par voie électronique. En outre, aux termes de l’art. 10 al. 2 LCH, les personnes qui deviennent majeures remplissent les mêmes formalités qu'un nouvel arrivant. Selon le Message accompagnant le projet de loi sur le contrôle des habitants, "une personne doit, en règle générale, se présenter personnellement au secrétariat communal pour annoncer son arrivée et son départ. Cette manière de procéder permet à l'autorité communale de prendre une première fois contact avec les nouveaux arrivants et de régler rapidement et d'une manière simple les éventuels problèmes en suspens" (Message no 232 du Conseil d'Etat du 4 mars 1986 accompagnant le projet de loi sur le contrôle des habitants [ci-après: Message], BGC 1986 p. 495 ss, ad art. 6, 10 et 11, p. 499). Un peu plus loin, le Message précise que "les enfants devenus majeurs devront, même s'ils demeurent chez leurs parents, s'annoncer individuellement et produire l'une des pièces de légitimation prévues à l'art. 8. Ils seront convoqués à cet effet par le préposé" (Message, idem).</w:t>
      </w:r>
    </w:p>
    <w:p>
      <w:r>
        <w:rPr>
          <w:b/>
        </w:rPr>
        <w:t>E. 3.2</w:t>
      </w:r>
    </w:p>
    <w:p>
      <w:r>
        <w:t>Selon l’art. 10 CPJA, l'autorité applique le droit d'office (al. 1). Elle contrôle, d'office ou sur requête, la validité des dispositions applicables au cas d'espèce (al. 2). En particulier, elle n'applique pas les dispositions contraires au droit fédéral, à la Constitution cantonale ou à un acte législatif cantonal de rang supérieur (al. 3).</w:t>
      </w:r>
    </w:p>
    <w:p>
      <w:r>
        <w:rPr>
          <w:b/>
        </w:rPr>
        <w:t>E. 3.3.1</w:t>
      </w:r>
    </w:p>
    <w:p>
      <w:r>
        <w:t>D'après l'art. 10 al. 2 Cst., tout être humain a droit à la liberté personnelle, notamment à l'intégrité physique et psychique et à la liberté de mouvement. Le droit à la liberté personnelle est une garantie large, qui inclut toutes les libertés élémentaires dont l'exercice est nécessaire à l'épanouissement de la personne humaine et dont devrait disposer tout être humain afin que la dignité humaine ne soit pas atteinte par le biais de mesures étatiques. Le caractère disparate de l'abondante casuistique à laquelle a donné lieu cette garantie a fait ressortir que sa portée ne peut être définie de manière générale, mais doit être déterminée de cas en cas, en tenant compte des buts de la liberté, de l'intensité de l'atteinte qui y est portée ainsi que de la personnalité de ses destinataires (cf. ATF 134 I 214 consid. 5.1 et les références citées). La liberté de mouvement, prérogative protégée au titre de la liberté personnelle, impose essentiellement à l’Etat l’obligation de s’abstenir d’adopter ou d’accomplir des actes normatifs, administratifs ou matériels de nature à empêcher les individus, ou leur interdire, d’aller en un lieu quelconque, d’y rester et de le quitter. Dans cette mesure, elle a un contenu "négatif". Le domaine de protection matériel de la liberté de mouvement peut être mis en évidence par la présentation des différentes mesures étatiques qui s’analysent comme des restrictions à ce droit fondamental. Vu la définition de ce droit, celles-ci peuvent consister soit en l’interdiction d’aller/et ou de rester à un endroit ("Ausgrenzung"), soit en l’obligation d’aller et/ou de rester à un endroit ("Eingrenzung"). On peut classer dans la seconde catégorie: l’interpellation passagère ou la conduite au poste de police,</w:t>
      </w:r>
    </w:p>
    <w:p>
      <w:r>
        <w:t>Tribunal cantonal TC Page 7 de 10 par exemple à des fins d’un contrôle d’identité; des mesures d’identification policières qui durent quatre à six heures; la saisie du passeport et/ou l’obligation de s’annoncer chaque semaine à un poste de police, prononcées pour éviter la sortie du territoire suisse d’un prévenu dans une enquête pénale; le mandat de comparution à une audience de tribunal, pour y déposer en tant que partie, que témoin ou qu’expert; l’obligation de se rendre dans un hôpital psychiatrique pour se soumettre à une expertise; l’obligation d’aller subir des soins ou des examens médicaux périodiques dans un établissement déterminé; l’assignation à résidence en droit des étrangers; l’obligation pour un débiteur d’assister à la saisie de ses biens, sous peine de s’y faire amener par la police, etc. (cf. DUBEY, Droits fondamentaux, Volume II, 2018, no 1394 ss et les références citées).</w:t>
      </w:r>
    </w:p>
    <w:p>
      <w:r>
        <w:rPr>
          <w:b/>
        </w:rPr>
        <w:t>E. 3.3.2</w:t>
      </w:r>
    </w:p>
    <w:p>
      <w:r>
        <w:t>En vertu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Toute restriction doit être fondée sur une base légale suffisamment claire et précise, les restrictions graves devant être prévues par une loi au sens formel (cf. ATF 146 I 11 consid. 3.1.2; 144 I 126 consid. 5.1; 139 I 280 consid. 5.1). L'exigence de précision est destinée à assurer la sécurité du droit et l'égalité de traitement. Dans cette mesure, les dispositions en cause doivent être formulées d'une manière suffisamment précise pour permettre aux individus d'adapter leur comportement et de prévoir les conséquences d'un comportement déterminé avec un degré de certitude approprié aux circonstances (cf. ATF 146 I 11 consid. 3.1.2; 143 II 162 consid. 3.2.1; 139 I 280 consid. 5.1 et les références citées). Le principe de la légalité ne doit pas être vidé de sa substance ni, inversement, être appliqué avec une exagération telle qu'il entre en contradiction irréductible avec la réalité juridique et les exigences de la pratique (cf. ATF 143 II 283 consid. 3.5; 143 I 220 consid. 5.1.2; 135 I 130 consid. 7.2 et les références citées). Le législateur ne peut pas éviter de recourir à des concepts généraux plus ou moins flous qui nécessitent d'être concrétisés par la pratique. Le degré de précision nécessaire ne se prête pas à une définition abstraite. Il dépend notamment de la diversité des situations à évaluer, de la complexité et de la prévisibilité des décisions à prendre dans chaque cas d'espèce, des destinataires de la législation, de la gravité de l'atteinte aux droits fondamentaux et de la difficulté de choisir une solution appropriée avant qu'un cas d'application ne se présente concrètement (cf. ATF 136 I 87 consid. 3 / JdT 2010 I 87).</w:t>
      </w:r>
    </w:p>
    <w:p>
      <w:r>
        <w:rPr>
          <w:b/>
        </w:rPr>
        <w:t>E. 3.3.3</w:t>
      </w:r>
    </w:p>
    <w:p>
      <w:r>
        <w:t>En l'espèce, le recourant soutient que l’obligation de déposer personnellement son acte d’origine auprès de l’administration communale porte atteinte à sa liberté personnelle et ne saurait être justifiée par un intérêt public. Les art. 6 al. 2 et 10 al. 2 LCH prévoient expressément que la personne qui devient majeure doit se présenter personnellement pour déposer son acte d'origine, à moins d'en avoir été dispensée pour de justes motifs par le préposé. Il s'ensuit que la commune, en exigeant de la part du recourant son passage personnel en ses bureaux à cet effet, s'en est tenue à la volonté du législateur très clairement exprimée. Elle peut dès lors se prévaloir d'une base légale au sens formel. La commune n'a en revanche pas fait usage de la possibilité également prévue par la loi d'une annonce par voie électronique. On peut se demander si cette option ne peut s'appliquer que pour l'annonce et si elle a sa place pour le dépôt de l'acte d'origine. Quoi qu'il en soit, il ne peut être reproché à la commune intimée d'avoir opté pour la présentation personnelle dès lors que la loi lui</w:t>
      </w:r>
    </w:p>
    <w:p>
      <w:r>
        <w:t>Tribunal cantonal TC Page 8 de 10 en laisse expressément le choix. Il n'appartient pas à l'Instance de céans de trancher entre les deux solutions préconisées, à défaut de pouvoir contrôler l'opportunité de la mesure. De plus, le recourant ne prétend pas qu'il pourrait se prévaloir de justes motifs le dispensant de se déplacer à la commune. Reste à savoir si, nonobstant ce qui précède, l'obligation en question viole des droits constitutionnels, comme il le prétend. L’obligation de déposer en personne son acte d’origine constitue une atteinte à la liberté personnelle en ce sens qu'elle contraint le citoyen à un comportement déterminé, à savoir celui de se présenter à la commune. Pour autant, cette obligation ne constitue à l'évidence pas une limitation drastique du droit constitutionnel précité, dès lors que le passage n'a lieu qu'à une reprise et que le citoyen reste libre de se rendre à sa convenance auprès de l'administration communale. On ne peut ainsi pas soutenir qu'il est atteint d'une manière non négligeable dans sa liberté de mouvement en particulier. Quant au but final poursuivi par la démarche imposée au citoyen et au recourant en particulier, il vise un intérêt public, à savoir celui, pour la commune, de faire la connaissance de ses administrés qui viennent déposer un document officiel et de régler, cas échéant, les "éventuels problèmes en suspens", comme le précise le Message. Cette obligation faite aux personnes qui deviennent majeures et aux nouveaux arrivants est une règle générale et abstraite qui doit s'appliquer à un nombre indéterminé de nouveaux citoyens, dont pour certains des points spécifiques devront être réglés et pourront l'être lors de leur passage au contrôle des habitants. Quand bien même le recourant n'aurait pas de problèmes spéciaux à régler avec sa commune de domicile - ce que le dossier de la cause ne permet pas d'établir -, cela ne permet pas de l'en dispenser pour autant, à défaut de motif justificatif. Cela étant, il n'en demeure pas moins que celle-ci peut justifier de son intérêt (public) à faire la connaissance des jeunes devenus majeurs de manière officielle. Cet intérêt de la commune subsiste même si ces personnes nouvellement majeures sont intégrées dans divers clubs de la commune, dès lors que celle-ci ne peut pas savoir si elles font partie de ses citoyens actifs. De plus, comme déjà évoqué, le choix opéré par la commune lui revient. Soulignons par ailleurs que la voie électronique ne permet précisément pas ce contact personnel qui demeure d'intérêt pour elle, même - et peut-être surtout - si elle compte un nombre important d'habitants. En outre, un tel contact personnel permet de s'assurer immédiatement de l'identité de la personne qui entend déposer ses papiers et vise également un intérêt public à la bonne tenue des registres publics. Enfin, une présentation personnelle de quelques minutes au contrôle des habitants selon les disponibilités de l'intéressé ne semble guère disproportionnée au but à atteindre.</w:t>
      </w:r>
    </w:p>
    <w:p>
      <w:r>
        <w:rPr>
          <w:b/>
        </w:rPr>
        <w:t>E. 3.4</w:t>
      </w:r>
    </w:p>
    <w:p>
      <w:r>
        <w:t>Le recourant soutient encore que la démarche litigieuse viole l’interdiction du formalisme excessif. Il est selon lui inutile et tracassier d’exiger de l’administré qu’il vienne personnellement déposer cet acte auprès de l’administration alors que la commune dispose déjà de tous les renseignements nécessaires à l’exécution de ses tâches le concernant.</w:t>
      </w:r>
    </w:p>
    <w:p>
      <w:r>
        <w:rPr>
          <w:b/>
        </w:rPr>
        <w:t>E. 3.4.1</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arrêt TF 2C_153/2018 du 25 juin 2018 consid. 3.1 et les références citées).</w:t>
      </w:r>
    </w:p>
    <w:p>
      <w:r>
        <w:t>Tribunal cantonal TC Page 9 de 10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(cf. arrêt TF 5A_488/2015 du 21 août 2015 consid. 3.1). Selon le Tribunal fédéral, l’interdiction du formalisme excessif vise les exigences de forme de la procédure qui paraissent excessives, ne sont justifiées par aucun intérêt digne de protection, ne poursuivent qu’un but propre et qui de manière insoutenable rendent plus difficile, voire empêchent l’application du droit matériel. Au contraire, lorsqu’une exigence de forme répond à un motif matériel, son application stricte ne viole pas l’interdiction du formalisme excessif. L’art. 29 Cst. prohibe le formalisme excessif dans la loi, à savoir le fait qu’une loi de procédure contienne des exigences de forme à ce point disproportionnées, dépourvues d’intérêt public ou privé et/ou contraires à la bonne foi qu’elle paraissent injustifiables ou déraisonnables. Il ne suffit toutefois pas que ces exigences soient "rigoureuses"; elles doivent l’être "excessivement". Car c’est en effet le propre des lois de procédure que d’imposer une certaine manière de faire ou de procéder, en imposant des prescriptions forcément formalistes en matière de délais, d’allégation, de motivation, de conclusions ou de notification (DUBEY, no 4047 ss et les références citées).</w:t>
      </w:r>
    </w:p>
    <w:p>
      <w:r>
        <w:rPr>
          <w:b/>
        </w:rPr>
        <w:t>E. 3.4.2</w:t>
      </w:r>
    </w:p>
    <w:p>
      <w:r>
        <w:t>En l’espèce, contrairement à ce que semble penser le recourant, la cyberadministration n'exclut pas le contact, en certaines circonstances, entre administrés et autorité communale. Cela étant, le guichet virtuel de l'Etat ne permet toutefois à la population que d'obtenir certains documents (extraits de l’Office des poursuites et du Registre du commerce, permis de pêche de courte durée et documents de l'état civil). Le déménagement - qui s'apparente le plus à la démarche requise du recourant - est à ce jour uniquement en cours d’élaboration (cf. www.fr.ch/vie- quotidienne/demarches-et-documents/cyberadministration-ou-egovernment, consulté le 10 mai 2021). En outre, aucune signature électronique ne permet à ce jour d'identifier valablement l'auteur de l'acte. Or, le dépôt de ce document officiel auprès de la commune de domicile a des conséquences juridiques qui ne sauraient être niées et qui justifient de s'assurer de l'identité de la personne concernée. De plus, comme l’a retenu l’autorité intimée, on ne saurait reconnaitre que l’exigence prévue aux art. 8 al. 2 et 10 al. 2 LCH, qui consiste en un seul passage, au choix du citoyen, qui plus est de brève durée, soit à ce point disproportionnée, dépourvue d’intérêt public ou contraire à la bonne foi, qu’elle paraisse injustifiable ou déraisonnable et violerait de ce fait l’interdiction du formalisme excessif inscrite à l’art. 29 al. 1 Cst. Il résulte de ce qui précède que ce grief doit être rejeté également.</w:t>
      </w:r>
    </w:p>
    <w:p>
      <w:r>
        <w:rPr>
          <w:b/>
        </w:rPr>
        <w:t>E. 4</w:t>
      </w:r>
    </w:p>
    <w:p>
      <w:r>
        <w:t>Partant, c’est à juste titre que l’autorité intimée a appliqué les dispositions litigieuses et a ainsi requis du recourant qu’il dépose personnellement son acte d’origine auprès de l’administration communale. Mal fondé, le recours doit dès lors être rejeté et la décision attaquée confirmée. Compte tenu de l'issue du recours, il appartient au recourant qui succombe de supporter les frais de justice (art. 131 CPJA). Pour le même motif, il n'est pas alloué d'indemnité de partie à son mandataire (art. 137 CPJA).</w:t>
      </w:r>
    </w:p>
    <w:p>
      <w:r>
        <w:t>Tribunal cantonal TC Page 10 de 10 la Cour arrête : I. Le recours est rejeté. II. Les frais de procédure, par CHF 800.-, sont mis à la charge du recourant. Ils sont compensés par l'avance de frais de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11 mai 2021/ape/eto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