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208 vom 23. März 2022</w:t>
      </w:r>
    </w:p>
    <w:p>
      <w:r>
        <w:t>FR Kantonsgericht, 2022-03-23, FR</w:t>
      </w:r>
    </w:p>
    <w:p>
      <w:r>
        <w:rPr>
          <w:b/>
        </w:rPr>
        <w:t xml:space="preserve">Quelle: </w:t>
      </w:r>
      <w:r>
        <w:t>https://mcp.opencaselaw.ch/entscheid/fr_gerichte_601_2020_208</w:t>
      </w:r>
    </w:p>
    <w:p>
      <w:r>
        <w:t>FR: FR_GERICHTE 601 2020 208 du 23 mars 2022</w:t>
      </w:r>
    </w:p>
    <w:p>
      <w:r>
        <w:t>IT: FR_GERICHTE 601 2020 208 del 23 marzo 2022</w:t>
      </w:r>
    </w:p>
    <w:p>
      <w:pPr>
        <w:pStyle w:val="Heading2"/>
      </w:pPr>
      <w:r>
        <w:t>Regeste</w:t>
      </w:r>
    </w:p>
    <w:p>
      <w:r>
        <w:t>Arrêt de la Ie Cour administrative du Tribunal cantonal | Bürgerrecht, Niederlassung, Aufenthalt</w:t>
      </w:r>
    </w:p>
    <w:p>
      <w:pPr>
        <w:pStyle w:val="Heading2"/>
      </w:pPr>
      <w:r>
        <w:t>Erwägungen</w:t>
      </w:r>
    </w:p>
    <w:p>
      <w:r>
        <w:rPr>
          <w:b/>
        </w:rPr>
        <w:t>E. 11</w:t>
      </w:r>
    </w:p>
    <w:p>
      <w:r>
        <w:t>mars 2020 consid. 5.10), il a admis que l'on pouvait tenir compte, pour juger de la condition de l'absence de prestations complémentaires, des critères qui servent à évaluer la dépendance à l'aide sociale selon l'art. 43 al. 1 let. c LEI. Il faut toutefois garder à l'esprit qu'aide sociale et prestations complémentaires ne sont pas totalement comparables. En particulier, il y a lieu de tenir compte du fait que les personnes qui sont au bénéfice d'une rente AI ne peuvent en principe guère modifier leur situation financière. Enfin, une éventuelle atteinte au droit à la protection de la vie privée et familiale (art. 13 Cst., 8 par. 1 CEDH) doit également être proportionnée en cas de perception de prestations complémentaires (arrêt TF 2C_309/2021 du 5 octobre 2021 consid. 5.5.); qu'il n'est en l'espèce pas contesté que l'époux recourant touche une rente AI extraordinaire de CHF 1'580.-, une allocation pour impotent de CHF 474.- ainsi que des prestations complémentaires à raison de CHF 744.- par mois; que néanmoins, en vertu de la jurisprudence précitée, la perception de prestations complémentaires ne suffit pas, à elle seule, à nier tout droit au regroupement familial. Il faut bien plus apprécier la situation en faisant application des critères développés pour juger du risque de dépendance à l'aide sociale au sens de l'art. 43 al. 1 let. c LEI (cf. arrêt TC FR 601 2021 156 du 20 janvier 2022);</w:t>
      </w:r>
    </w:p>
    <w:p>
      <w:r>
        <w:t>Tribunal cantonal TC Page 5 de 7 que ce critère est satisfait lorsqu'aucun risque concret n'existe à ce propos (arrêt TF 2C_309/2021 du 5 octobre 2021 consid. 6.1; 2C_35/2019 du 15 septembre 2020 consid. 4.1). De simples doutes sur les capacités financières ne suffisent pas et il n'est pas acceptable non plus de s'appuyer sur des hypothèses et des considérations forfaitaires (cf. arrêt TF 2C_574/2018 du 15 septembre 2020 consid. 4.1 et les références). L'appréciation du risque de dépendance à l'aide sociale se base sur la situation passée et actuelle comme aussi sur l'évolution financière vraisemblable à long terme. Dans ce cadre, il ne suffit pas de prendre seulement en considération le revenu des membres de la famille disposant déjà d'un droit de séjour, mais il convient de tenir compte également des capacités financières de tous les membres de la famille (cf. ATF 139 I 330 consid. 4.1; 122 II 1 consid. 3c; arrêt TF 2C_502/2020 du 4 février 2021 consid. 5.1; 2C_35/2019 du 15 septembre 2020 consid. 4.1). Le revenu des membres qui peuvent et doivent participer aux frais d'entretien de la famille doit être pris en considération pour autant que, sur le principe, celui-ci apparaisse effectivement réalisable. Dans ce sens, les activités lucratives possibles et les revenus qui y sont liés doivent paraître assurés avec un certain degré de vraisemblance sur une période plus étendue que le simple court terme (ATF 139 I 330 consid. 4.1; 122 II 1 consid. 3c; arrêt TF 2C_502/2020 du 4 février 2021 consid. 5.1). Un refus de l'autorisation entre ainsi en considération lorsqu'une personne a bénéficié d'importantes prestations de soutien et lorsqu'il ne peut pas être admis qu'elle pourra à l'avenir assumer son entretien (arrêt TF 2C_35/2019 du 15 septembre 2020 consid. 4.1); qu'en l'occurrence, il ressort du calcul du budget réalisé par l'autorité intimée sur la base des rentes de l'époux un malus de CHF 2'342.90.- par mois pour le couple et ses deux premiers enfants, la naissance du troisième - dont le SPoMi n'a eu connaissance que dans le cadre de la présente procédure - n'ayant pas pu être prise en compte. A l'évidence, le malus est actuellement encore plus important; qu'à cela s'ajoute que les possibilités financières du recourant ne sont pas susceptibles d'évoluer. Selon les informations avancées dans le recours, il souffre depuis l'enfance d'un retard mental provoqué par une méningite mal soignée dans son pays d'origine et n'est pas autonome. Il présente une incapacité de travail de 92% et bénéfice, outre d'une rente AI extraordinaire et de prestations complémentaires, d'une allocation pour impotent; qu'il n'a en revanche pas de dettes, ni d'actes défaut de biens; qu'au vu des éléments qui précèdent, c'est à juste titre que l'autorité intimée a constaté que le recourant ne dispose pas de moyens financiers suffisants pour lui permettre de subvenir aux besoins de sa famille; qu'autrement dit, il incombe à l'épouse de démontrer qu'elle est en mesure d'assurer l'autonomie financière de sa famille, de façon pérenne, si elle entend bénéficier, pour elle et ses enfants, du regroupement familial en Suisse; que celle-ci a produit une promesse d'embauche au poste d'agente d'entretien à plein temps, pour un salaire mensuel brut de CHF 3'800.-, correspondant à un horaire hebdomadaire de 40 heures; que ce salaire, ajouté à la rente AI du recourant et à son allocation pour impotent, permettrait aux intéressés de disposer d'un revenu mensuel net de plus de CHF 5'500.-, auquel s'ajouteraient les allocations pour trois enfants;</w:t>
      </w:r>
    </w:p>
    <w:p>
      <w:r>
        <w:t>Tribunal cantonal TC Page 6 de 7 qu'il pourrait combler le malus que présente le budget du couple et équilibrer sur le long terme sa situation financière; qu'il pourrait aussi, peut-être, empêcher à l'avenir que son époux perçoive des prestations complémentaires, sachant que le revenu du conjoint rentre dans le calcul des revenus déterminants pour le montant des prestations complémentaires, à raison de 80 % depuis le 1er janvier 2021 (cf. art 11 al. 1 let. a LPC; pour le mode de calcul : cf. le calculateur de prestations complémentaires https://form.zas.admin.ch/orbeon/fr/AHV-IV/EL_Tool_Version2022/new, consulté le 18 mars 2022), étant rappelé que la personne à l’origine de la demande de regroupement familial ne doit pas percevoir de prestations complémentaires, ni ne doit en percevoir grâce au regroupement familial (cf. art. 43 al. 1 let. e LEI); que les revenus futurs du couple pourraient ainsi également, a fortiori, les empêcher d'émarger à l'aide sociale (cf. art. 43 al. 1 let. c LEI); que pourtant, force est de constater que le SPoMi n'a pas examiné la réalité et le sérieux de la promesse d'embauche produite par la recourante et qu'il ne l'a purement et simplement pas prise en compte; que, cependant, l'autorité de céans a déjà souligné qu'à défaut d'arguments contraires, si on oppose systématiquement à toute promesse d'engagement le fait qu'il ne s'agit pas d'un véritable contrat ou que l'intéressé n'a jamais travaillé en Suisse pour remettre en cause sa capacité à conserver un emploi sur la durée, il ne serait dès lors pratiquement jamais possible de tenir compte de la future contribution du conjoint qui demande le regroupement familial pour juger de sa dépendance à l'assistance publique, alors même que la jurisprudence l'exige expressément (cf. arrêt TC FR 601 2021 156 du 20 janvier 2022); qu'or, en l'espèce, l'offre d'emploi produite pourrait convenir à la recourante, née en 1997, a priori en bonne santé, et sans doute capable d'assumer les tâches d'agente d'entretien; qu'en outre, celle-ci indique faire preuve d'une grande volonté d'intégration et suivre d'ores et déjà des cours de français dans le canton; que cela étant, il ne faut pas perdre de vue non plus que la jeune femme est mère de trois enfants en bas âge et qu'il semble peu probable que, durant son absence, la garde de ceux-ci puisse être confiée au père, impotent; que, néanmoins, on ne saurait d'emblée exclure toute solution durable de garde des enfants, notamment par leurs grands-parents – âgés respectivement de 72 et 70 ans et vivant en communauté avec la famille recourante –, leurs tantes et les autres membres de leur famille élargie qui résident dans le canton, cas échéant par leur placement en crèche; que, finalement, même si les allégations des recourants - qui se déclarent en mesure de vivre en parfaite autonomie financière sans avoir recours aux prestations complémentaires ou à l'aide sociale - ne sont nullement établies, l'autorité intimée ne pouvait purement et simplement les écarter, sans procéder au préalable à un examen approfondi de leur bien fondé; que cet examen s'avérait d'autant plus nécessaire qu'il est en l'espèce difficilement envisageable d'exiger de l'époux, impotent, qu'il suive son épouse et leurs jeunes enfants dans leur pays d'origine;</w:t>
      </w:r>
    </w:p>
    <w:p>
      <w:r>
        <w:t>Tribunal cantonal TC Page 7 de 7 que, pour l'ensemble des motifs qui précèdent, il convient d'admettre le recours, d'annuler la décision du SPoMi et de lui renvoyer l'affaire en l'invitant à statuer à nouveau, après avoir procédé à une instruction complémentaire, dans le sens des considérants; que, vu l'issue de la procédure, il n'est pas perçu de frais de justice; que les recourants qui obtiennent gain de cause - le renvoi de l'affaire à l'autorité intimée valant gain de cause s'agissant des dépens (ATF 133 V 450 consid. 13; 132 V 215 consid. 6.1) - ont droit à une indemnité de partie; que celle-ci est fixée globalement, en application de l'art. 11 al. 2 et 3 let. b du tarif cantonal du 17 décembre 1991 des frais de procédure et des indemnités en matière de juridiction administrative (Tarif JA; RSF 150.12); la Cour arrête : I. Le recours (601 2020 208) est admis et la décision litigieuse annulée. L'affaire est renvoyée à l'autorité intimée pour instruction complémentaire, dans le sens des considérants, et nouvelle décision. II. Il n'est pas perçu de frais de justice. L'avance de frais versée par les recourants, soit la somme de CHF 800.-, leur est restituée. III. Une indemnité de partie de CHF 2'154.- (y compris TVA par CHF 154.-) à verser à Me Katia Berset est mise à la charge de l'Etat de Fribourg. IV.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23 mars 2022/mju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