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64 vom 29. Mai 2018</w:t>
      </w:r>
    </w:p>
    <w:p>
      <w:r>
        <w:t>FR Kantonsgericht, 2018-05-29, FR</w:t>
      </w:r>
    </w:p>
    <w:p>
      <w:r>
        <w:rPr>
          <w:b/>
        </w:rPr>
        <w:t xml:space="preserve">Quelle: </w:t>
      </w:r>
      <w:r>
        <w:t>https://mcp.opencaselaw.ch/entscheid/fr_gerichte_601_2018_64</w:t>
      </w:r>
    </w:p>
    <w:p>
      <w:r>
        <w:t>FR: FR_GERICHTE 601 2018 64 du 29 mai 2018</w:t>
      </w:r>
    </w:p>
    <w:p>
      <w:r>
        <w:t>IT: FR_GERICHTE 601 2018 64 del 29 maggio 2018</w:t>
      </w:r>
    </w:p>
    <w:p>
      <w:pPr>
        <w:pStyle w:val="Heading2"/>
      </w:pPr>
      <w:r>
        <w:t>Regeste</w:t>
      </w:r>
    </w:p>
    <w:p>
      <w:r>
        <w:t>Arrêt de la Ie Cour administrative du Tribunal cantonal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29 mai 2018/ape La Présidente: La Greffière-stagiaire: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