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322 vom 6. September 2019</w:t>
      </w:r>
    </w:p>
    <w:p>
      <w:r>
        <w:t>FR Kantonsgericht, 2019-09-06, FR</w:t>
      </w:r>
    </w:p>
    <w:p>
      <w:r>
        <w:rPr>
          <w:b/>
        </w:rPr>
        <w:t xml:space="preserve">Quelle: </w:t>
      </w:r>
      <w:r>
        <w:t>https://mcp.opencaselaw.ch/entscheid/fr_gerichte_601_2018_322</w:t>
      </w:r>
    </w:p>
    <w:p>
      <w:r>
        <w:t>FR: FR_GERICHTE 601 2018 322 du 6 septembre 2019</w:t>
      </w:r>
    </w:p>
    <w:p>
      <w:r>
        <w:t>IT: FR_GERICHTE 601 2018 322 del 6 settembre 2019</w:t>
      </w:r>
    </w:p>
    <w:p>
      <w:pPr>
        <w:pStyle w:val="Heading2"/>
      </w:pPr>
      <w:r>
        <w:t>Regeste</w:t>
      </w:r>
    </w:p>
    <w:p>
      <w:r>
        <w:t>Arrêt de la Ie Cour administrative du Tribunal cantonal | Bürgerrecht, Niederlassung, Aufenthalt</w:t>
      </w:r>
    </w:p>
    <w:p>
      <w:pPr>
        <w:pStyle w:val="Heading2"/>
      </w:pPr>
      <w:r>
        <w:t>Erwägungen</w:t>
      </w:r>
    </w:p>
    <w:p>
      <w:r>
        <w:rPr>
          <w:b/>
        </w:rPr>
        <w:t>E. 25</w:t>
      </w:r>
    </w:p>
    <w:p>
      <w:r>
        <w:t>juin 2018 consid. 3.3 et les références); que, selon cette disposition,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qu’il y a motif de révision, au sens de l’art. 105 al. 1 CPJA, lorsqu’une partie allègue des faits ou produit des moyens de preuve nouveaux et importants (let. a), ou prouve que l’autorité n’a pas tenu compte de faits importants établis par pièces (let. b), ou établit que l’autorité a violé les dispositions relatives à la récusation ou au droit d’être entendu (let. c); que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153 / JdT 1989 I 215 consid. 3c; cf. arrêt TF 2C_198/2018 du 25 juin 2018 consid. 3.3 et les références; cf. TANQUEREL, n. 1428 ss); que si, en revanche, l’autorité saisie de la demande de réexamen entre en matière et rend une décision sur la base de moyens de preuve ou d’arguments nouveaux, cette décision peut faire l’objet d’un recours pour des motifs de fond (arrêt TF 2C_606/2013 du 4 avril 2014 consid. 2 et les références; cf. TANQUEREL, n. 1431); que, dans le cas particulier, l’autorité intimée est entrée en matière sur la demande et, après examen, l'a rejetée; que, dès lors que le Tribunal fédéral a confirmé le non-renouvellement de l'autorisation de séjour de l'intéressé, l'autorité intimée ne pouvait se saisir de la demande que sous l'angle de l'art. 104 al. 2 let. a du code du 23 mai 1991 de procédure et de juridiction administrative (CPJA; RSF 150.1), à savoir examiner si de nouvelles circonstances étaient effectivement survenues depuis la décision entérinée, permettant de lui octroyer une nouvelle autorisation de séjour (cf. arrêt TF 2C_280/2014 du 22 août 2014 consid. 3); que les faits nouveaux invoqués doivent être à même de modifier au fond l'appréciation globale des éléments qui avait été opérée par l'instance précédente, respectivement contrôlée par le Tribunal cantonal et le Tribunal fédéral (cf. arrêt TF 2C_280/2014 du 22 août 2014 consid. 4.1); qu'il s'agit en particulier d'examiner si la décision attaquée lui refusant une autorisation est proportionnée, au vu des nouveaux éléments invoqués par le recourant, en application de l'art. 96</w:t>
      </w:r>
    </w:p>
    <w:p>
      <w:r>
        <w:t>Tribunal cantonal TC Page 5 de 7 de la loi du 16 décembre 2005 sur les étrangers et l'intégration (LEI; RS 142.20), au terme duquel les autorités compétentes tiennent compte, en exerçant leur pouvoir d’appréciation, des intérêts publics, de la situation personnelle de l’étranger ainsi que de son degré d’intégration (al. 1) (arrêts TF 2C_280/2014 du 22 août 2014 consid. 4.8; TC FR 601 2015 107/108 du 18 juillet 2016); que, dans le cas particulier, il sied d'emblée de souligner que le recourant ne s'est pas conformé à l'ordre qui lui avait été donné de quitter immédiatement la Suisse, ce qui est pourtant un préalable nécessaire. Ne pas exiger le respect de cette condition reviendrait en effet à permettre au recourant de contourner la décision de renvoi prise à son encontre. En principe, dans ces circonstances, un nouvel examen du droit à une autorisation de séjour n'entre pas en considération (cf. arrêt TF 2C_862/2018 du 15 janvier 2019 consid. 3.3); que, cela étant, si le SPoMi a estimé que l'octroi de l'autorité parentale conjointe et la promesse d'embauche constituaient des fait nouveaux, il a considéré que ces éléments ne suffisaient pas à délivrer un titre de séjour à l'intéressé; qu'à l'évidence, cette appréciation ne peut être que confirmée par la Cour de céans; que, comme l'a exposé le Tribunal fédéral dans l'ATF 144 I 91, le parent qui n'a pas le droit de garde ne peut pas d'emblée se prévaloir de l'art. 8 CEDH et obtenir une autorisation de séjour au travers de son enfant autorisé à résider en Suisse (cf. arrêt TF 2C_301/2018 du 24 septembre 2018 consid. 4.3 et les références); qu'en effet,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arrêt TF 2C_301/2018 du 24 septembre 2018 consid. 4.3 et les références); qu'un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(arrêt TF 2C_301/2018 du 24 septembre 2018 consid. 4.3 et les références); que cette jurisprudence s'applique également lorsque les parents sont titulaires de l'autorité parentale conjointe - ce qui est généralement la règle depuis l'entrée en vigueur des modifications du code civil le 1er juillet 2014 - mais que seul l'un des deux a la garde de l'enfant (arrêt TF 2C_301/2018 du 24 septembre 2018 consid. 4.3 et les références); que, partant, l'obtention, par le recourant, de l'autorité parentale conjointe n'est pas de nature à remettre en cause la précédente décision rendue par le SPoMi, puis confirmée par l'Instance de céans et le Tribunal fédéral; que, par ailleurs, aucun droit plus étendu ne peut être conféré au recourant qui n'entretient notamment toujours pas de relation effective avec son enfant d'un point de vue économique, à l'instar de ce que le Tribunal de céans et le Tribunal fédéral avaient déjà constaté par le passé;</w:t>
      </w:r>
    </w:p>
    <w:p>
      <w:r>
        <w:t>Tribunal cantonal TC Page 6 de 7 que, s'agissant de la promesse d'embauche du 7 juin 2018 présentée par le recourant à l'appui de sa requête du 12 juillet 2018, respectivement s'agissant du contrat à durée indéterminée y afférant produit par l'intéressé devant la Cour, il sied d'emblée de constater qu'aucune prise d'emploi effective n'a eu lieu en septembre 2018, l'intéressé étant incarcéré à cette époque; que, de fait, le recourant n'est toujours pas actif du point de vue professionnel; que, du reste, même si tel avait été le cas, cette prise d'emploi n'aurait en tous les cas pas été suffisante pour remettre en cause, à l'aune de la situation actuelle, le refus d'octroi d'un titre de séjour en sa faveur; que l'on ne saurait en effet considérer être en présence d'une intégration professionnelle réussie, étant souligné que la demande litigieuse date du 12 juillet 2018 et que la promesse d'embauche ne remonte qu'à juin 2018; que ni la promesse d'embauche, ni le contrat de travail produit n'auraient en effet été susceptibles de relayer à l'arrière-plan l'inactivité professionnelle du recourant au cours de ses nombreuses années de résidence et son incapacité, constatée par la Cour, à créer et maintenir une situation professionnelle stable (cf. arrêt TC 601 2014 149 du 26 mars 2015 consid. 4a); que, dès lors, avec l'autorité intimée, l'on ne voit pas en quoi cette nouvelle circonstance était susceptible de conduire à une conclusion différente de celle résultant de sa décision initiale, confirmée aussi bien par le Tribunal cantonal que par le Tribunal fédéral; que, devant l'Instance de céans, le recourant fait encore valoir qu'il n'a plus de réseau dans son pays d'origine, où il se dit potentiellement en danger suite à sa conversion au christianisme; que ces arguments sont également insuffisants; qu'âgé de cinquante-quatre ans, le recourant est manifestement en mesure d'organiser sa vie à l'étranger de façon indépendante et autonome; qu'enfin, la réalité de ses craintes liées à sa religion n'est pas établie de manière probante; que, du reste, le recourant n'a pas allégué que les circonstances entourant l'exigibilité de son retour dans son pays d'origine se seraient modifiées, de sorte qu'il n'y a pas lieu de s'y attarder, un simple renvoi aux développements figurant dans la décision de non-renouvellement et les arrêts subséquents étant suffisant à cet égard; que, finalement, les points soi-disant positifs qui se seraient modifiés sont clairement insuffisants pour justifier la délivrance d'une nouvelle autorisation de séjour. Tout bien pesé, l’intérêt public à l’éloignement du recourant, désormais indésirable en Suisse depuis près de quatre ans, prévaut sur l’intérêt privé de celui-ci à bénéficier d'une autorisation de séjour dans le pays; que, partant, l’autorité intimée n’a pas violé les principes de la légalité et de la proportionnalité, ni commis un abus ou un excès de son vaste pouvoir d’appréciation en rejetant sa demande du 12 juillet 2018; que, mal fondé, le recours doit dès lors être rejeté, dans la mesure de sa recevabilité, et la décision du SPoMi confirmée;</w:t>
      </w:r>
    </w:p>
    <w:p>
      <w:r>
        <w:t>Tribunal cantonal TC Page 7 de 7 que la demande d’assistance judicaire partielle doit être rejetée, dès lors que le recours n’avait d’emblée aucune chance de succès (art. 142 al. 2 CPJA; ATF 129 I 129 / JdT 2005 IV 200; arrêt TF 8C_1015/2009 du 28 mai 2010 consid. 2); qu’il y a toutefois lieu de tenir compte de la situation financière précaire du recourant pour renoncer à percevoir des frais de procédure (art. 129 CPJA); la Cour arrête : I. Le recours (601 2018 322), pour autant que recevable, est rejeté. II. La demande d'assistance judiciaire (601 2018 326) est rejetée. III. Il n'est pas perçu de frais judiciaire, ni alloué de dépens. IV. Notification. Cette décision peut faire l'objet d'un recours de droit public auprès du Tribunal fédéral, à Lausanne, dans les 30 jours dès sa notification. Fribourg, le 6 septembre 2019/ape/smo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