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2018 236 vom 15. Mai 2019</w:t>
      </w:r>
    </w:p>
    <w:p>
      <w:r>
        <w:t>FR Kantonsgericht, 2019-05-15, FR</w:t>
      </w:r>
    </w:p>
    <w:p>
      <w:r>
        <w:rPr>
          <w:b/>
        </w:rPr>
        <w:t xml:space="preserve">Quelle: </w:t>
      </w:r>
      <w:r>
        <w:t>https://mcp.opencaselaw.ch/entscheid/fr_gerichte_601_2018_236</w:t>
      </w:r>
    </w:p>
    <w:p>
      <w:r>
        <w:t>FR: FR_GERICHTE 601 2018 236 du 15 mai 2019</w:t>
      </w:r>
    </w:p>
    <w:p>
      <w:r>
        <w:t>IT: FR_GERICHTE 601 2018 236 del 15 maggio 2019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let. c LEI; qu'au demeurant, la question du bien-fondé du renvoi ne se pose plus et, sur ce point, le recours est devenu sans objet, dans la mesure où le recourant s'est rendu volontairement au Pakistan, le</w:t>
      </w:r>
    </w:p>
    <w:p>
      <w:r>
        <w:rPr>
          <w:b/>
        </w:rPr>
        <w:t>E. 3</w:t>
      </w:r>
    </w:p>
    <w:p>
      <w:r>
        <w:t>mars 2019, pour un séjour annoncé jusqu'au 23 mars 2019 qu'il a prolongé jusqu'à ce jour; que, pour l'ensemble des motifs qui précèdent, force est de constater qu’en révoquant l’autorisation de séjour du recourant - respectivement en refusant de renouveler son autorisation de séjour arrivée à échéance - et en ordonnant de ce fait son renvoi du pays, l’autorité intimée n’a pas violé la loi, ni commis un quelconque abus ou excès de son pouvoir d’appréciation; que, mal fondé en tous points, le recours doit être rejeté et la décision du SPoMi confirmée; qu’il appartient au recourant qui succombe de supporter les frais de procédure, en application de l’art. 131 CPJA; que, pour le même motif, il n’est pas alloué d’indemnité de partie (art. 137 CPJA); la Cour arrête : I. Le recours est rejeté, pour autant qu'il n'est pas devenu sans objet. Partant, la décision du 29 juin 2018 est confirmée. II. Les frais de procédure, par CHF 800.-, sont mis à la charge du recourant. Ils sont compensés par l’avance de frais qu'il a versée. III. Notification. Cette décision peut faire l'objet d'un recours auprès du Tribunal fédéral, à Lausanne, dans les 30 jours dès sa notification. La fixation du montant des frais de procédure peut, dans un délai de 30 jours, faire l'objet d'une réclamation auprès de l'autorité qui a statué, lorsque seule cette partie de la décision est contestée (art. 148 CPJA). Fribourg, le 15 mai 2019/mju/eda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