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208 vom 6. Dezember 2018</w:t>
      </w:r>
    </w:p>
    <w:p>
      <w:r>
        <w:t>FR Kantonsgericht, 2018-12-06, FR</w:t>
      </w:r>
    </w:p>
    <w:p>
      <w:r>
        <w:rPr>
          <w:b/>
        </w:rPr>
        <w:t xml:space="preserve">Quelle: </w:t>
      </w:r>
      <w:r>
        <w:t>https://mcp.opencaselaw.ch/entscheid/fr_gerichte_601_2018_208</w:t>
      </w:r>
    </w:p>
    <w:p>
      <w:r>
        <w:t>FR: FR_GERICHTE 601 2018 208 du 6 décembre 2018</w:t>
      </w:r>
    </w:p>
    <w:p>
      <w:r>
        <w:t>IT: FR_GERICHTE 601 2018 208 del 6 dicembre 2018</w:t>
      </w:r>
    </w:p>
    <w:p>
      <w:pPr>
        <w:pStyle w:val="Heading2"/>
      </w:pPr>
      <w:r>
        <w:t>Regeste</w:t>
      </w:r>
    </w:p>
    <w:p>
      <w:r>
        <w:t>Arrêt de la Ie Cour administrative du Tribunal cantonal | Bürgerrecht, Niederlassung, Aufenthalt</w:t>
      </w:r>
    </w:p>
    <w:p>
      <w:pPr>
        <w:pStyle w:val="Heading2"/>
      </w:pPr>
      <w:r>
        <w:t>Erwägungen</w:t>
      </w:r>
    </w:p>
    <w:p>
      <w:r>
        <w:rPr>
          <w:b/>
        </w:rPr>
        <w:t>E. 7</w:t>
      </w:r>
    </w:p>
    <w:p>
      <w:r>
        <w:t>al. 2 de la loi cantonale du 13 novembre 2007 d'application de la loi fédérale sur les étrangers (LALEtr; RSF 114.22.1). Le Tribunal cantonal peut donc entrer en matière sur ses mérites; que,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qu'en application de l'art. 44 de la loi du 16 décembre 2005 sur les étrangers (LEtr, RS 142.20), l'autorité compétente peut octroyer une autorisation de séjour aux enfants célibataires de moins de 18 ans du titulaire d'une autorisation de séjour s'ils vivent en ménage commun avec lui, disposent d'un logement approprié et ne dépendent pas de l'aide sociale; que, par ailleurs, selon la jurisprudence, un étranger peut,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soit étroite et effective (ATF 130 II 281 consid. 3.1; 129 II 193 consid. 5.3.1). Les relations visées par l'art. 8 CEDH sont avant tout celles qui existent entre époux, ainsi que les relations entre parents et enfants mineurs vivant en ménage commun (ATF 127 II 60 consid. 1d/aa; 120 Ib 257 consid. 1d).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(ATF 129 II 11 consid. 2). On peut en effet généralement présumer qu'à partir de dix-huit ans un jeune adulte est en mesure de vivre de manière indépendante, sauf circonstances particulières telles qu'un handicap ou une maladie grave (ATF 120 Ib 257 consid. 1e).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qu'en l'occurrence, le recourant, âgé de 21 ans, ne remplit pas les conditions de l'art. 44 LEtr et ne peut donc pas se voir octroyer une autorisation de séjour sur cette base; qu'il ne ressort en outre nullement du dossier que le recourant serait dans un état de dépendance physique ou psychique quelconque par rapport à sa mère; que le fait qu'il ait vécu plusieurs années avec cette dernière et son mari, alors que tous deux résidaient au Brésil, demeure à l'évidence sans pertinence de ce point de vue;</w:t>
      </w:r>
    </w:p>
    <w:p>
      <w:r>
        <w:t>Tribunal cantonal TC Page 4 de 5 que le seul élément qu'il évoque pour fonder son droit de présence en Suisse consiste en l'état de violence à l'égard des jeunes au Brésil; que cet argument ne permet pas non plus de conclure à un état de dépendance au sens de la jurisprudence rappelée ci-dessus permettant un regroupement familial au-delà de la majorité; que, par ailleurs, même si le Brésil connaît un taux de criminalité très élevé, le pays est qualifié de stable par le Département fédéral des affaires étrangères (cf. www.eda.admin.ch/eda/fr/dfae/representations-et-conseils-aux-voyageurs/bresil/conseils- voyageurs-bresil.html, consulté le 20 novembre 2018); qu'il y a lieu de souligner que l'intéressé a vécu près de deux ans et demi loin de sa mère depuis son retour au Brésil en novembre 2015, sans éprouver de difficultés particulières, à tout le moins ne s'en prévaut-il pas; qu'il ressort en outre de son audition qu'il est venu en Suisse sur proposition de cette dernière et de son beau-père car cela serait "mieux pour lui" (audition SPoMi du 24 septembre 2015, p. 6), notamment en raison de la qualité de vie en Suisse (audition SPoMi du 24 septembre 2015, p. 11). Par ailleurs, il menait une vie autonome dans son pays d'origine où il a terminé l'école obligatoire. De plus, son père biologique, avec lequel il a des contacts quotidiens, vit toujours au Brésil, de même que ses frères et sœurs. Ils représentent ainsi une source de soutien évident pour l'intéressé; qu'en outre, ce dernier ne peut pas prétendre rester en Suisse sur la base d'autres dispositions du droit international; qu'enfin, ni le SPoMi ni l'Instance de céans ne sont compétents en matière d'asile; que, sur le vu de ce qui précède, force est d'admettre que l'autorité intimée n'a pas abusé ni excédé de son pouvoir d'appréciation en refusant le permis de séjour sollicité, décision par ailleurs en tous points proportionnelle; que, partant, le recours doit être rejeté et la décision attaquée confirmée; que les frais de procédure sont mis à la charge du recourant qui succombe et compensés par l'avance de frais versée;</w:t>
      </w:r>
    </w:p>
    <w:p>
      <w:r>
        <w:t>Tribunal cantonal TC Page 5 de 5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6 décembre 2018/ape/mga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