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2018 130 vom 30. Mai 2018</w:t>
      </w:r>
    </w:p>
    <w:p>
      <w:r>
        <w:t>FR Kantonsgericht, 2018-05-30, FR</w:t>
      </w:r>
    </w:p>
    <w:p>
      <w:r>
        <w:rPr>
          <w:b/>
        </w:rPr>
        <w:t xml:space="preserve">Quelle: </w:t>
      </w:r>
      <w:r>
        <w:t>https://mcp.opencaselaw.ch/entscheid/fr_gerichte_601_2018_130</w:t>
      </w:r>
    </w:p>
    <w:p>
      <w:r>
        <w:t>FR: FR_GERICHTE 601 2018 130 du 30 mai 2018</w:t>
      </w:r>
    </w:p>
    <w:p>
      <w:r>
        <w:t>IT: FR_GERICHTE 601 2018 130 del 30 maggio 2018</w:t>
      </w:r>
    </w:p>
    <w:p>
      <w:pPr>
        <w:pStyle w:val="Heading2"/>
      </w:pPr>
      <w:r>
        <w:t>Regeste</w:t>
      </w:r>
    </w:p>
    <w:p>
      <w:r>
        <w:t>Arrêt de la Ie Cour administrative du Tribunal cantonal | Einsprache (Kosten)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mars 2014 consid. 6a); qu’en outre, l’indemnité de partie doit être fixée dans les limites du tarif cantonal du 17 décembre 1991 des frais de procédure et des indemnités en matière de juridiction administrative (Tarif JA; RSF 150.1); que, dans le cas particulier, dans l’arrêt TC FR 601 2017 48 du 15 mars 2018, le Ie Cour administrative a arrêté l’indemnité de partie ex aequo et bono à CHF 2'500.-; qu’il convient de constater que ce montant est plus élevé que celui qu’aurait pu obtenir la recourante sur la base des listes de frais de Me Sébastien Pedroli; qu’en effet, considérant ce qui précède, il n’y a pas lieu de prendre en compte la première liste de frais du 13 septembre 2016, qui ne fait état que d’opérations antérieures à la décision préfectorale du 6 février 2017; que, s’agissant de la seconde, seules les démarches effectuées à partir du 7 février 2017 auraient été retenues par la Cour, et le montant de CHF 2'199.75 ainsi réduit en conséquence; qu’en outre, l’Instance de céans aurait ajusté le prix des copies à 40 centimes et le taux horaire à CHF 250.-, en application des art. 8 al. 1 et 9 al. 2 du Tarif JA, ce qui aurait également ramené l’indemnité de partie à un montant inférieur; que, dès lors, aucun motif ne justifie de faire droit à la réclamation formée par A.________; que, mal fondée, celle-ci doit être rejetée; qu'il n'est pas perçu de frais de justice pour la présente procédure (cf. 103 CPJA), ni alloué de dépens;</w:t>
      </w:r>
    </w:p>
    <w:p>
      <w:r>
        <w:t>Tribunal cantonal TC Page 4 de 4 la Cour arrête: I. La réclamation est rejetée. II. Il n'est pas perçu de frais de justice ni alloué de dépens. III. Notification. Cette décision peut faire l'objet d'un recours auprès du Tribunal fédéral, à Lausanne, dans les 30 jours dès sa notification. Fribourg, le 30 mai 2018/smo La Présidente: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