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2016 204 vom 30. März 2017</w:t>
      </w:r>
    </w:p>
    <w:p>
      <w:r>
        <w:t>FR Kantonsgericht, 2017-03-30, FR</w:t>
      </w:r>
    </w:p>
    <w:p>
      <w:r>
        <w:rPr>
          <w:b/>
        </w:rPr>
        <w:t xml:space="preserve">Quelle: </w:t>
      </w:r>
      <w:r>
        <w:t>https://mcp.opencaselaw.ch/entscheid/fr_gerichte_601_2016_204</w:t>
      </w:r>
    </w:p>
    <w:p>
      <w:r>
        <w:t>FR: FR_GERICHTE 601 2016 204 du 30 mars 2017</w:t>
      </w:r>
    </w:p>
    <w:p>
      <w:r>
        <w:t>IT: FR_GERICHTE 601 2016 204 del 30 marzo 2017</w:t>
      </w:r>
    </w:p>
    <w:p>
      <w:pPr>
        <w:pStyle w:val="Heading2"/>
      </w:pPr>
      <w:r>
        <w:t>Regeste</w:t>
      </w:r>
    </w:p>
    <w:p>
      <w:r>
        <w:t>Arrêt de la Ie Cour administrative du Tribunal cantonal | Bürgerrecht, Niederlassung, Aufenthalt</w:t>
      </w:r>
    </w:p>
    <w:p>
      <w:pPr>
        <w:pStyle w:val="Heading2"/>
      </w:pPr>
      <w:r>
        <w:t>Erwägungen</w:t>
      </w:r>
    </w:p>
    <w:p>
      <w:r>
        <w:rPr>
          <w:b/>
        </w:rPr>
        <w:t>E. 30</w:t>
      </w:r>
    </w:p>
    <w:p>
      <w:r>
        <w:t>jours dès sa notification. La fixation du montant des frais de procédure et de l'indemnité du défenseur d'office peut, dans un délai de 30 jours, faire l'objet d'une réclamation auprès de l'autorité qui a statué, lorsque seule cette partie de la décision est contestée (art. 148 CPJA). Fribourg, le 30 mars 2017/cpf Présidente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