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87 vom 23. Mai 2017</w:t>
      </w:r>
    </w:p>
    <w:p>
      <w:r>
        <w:t>FR Kantonsgericht, 2017-05-23, DE</w:t>
      </w:r>
    </w:p>
    <w:p>
      <w:r>
        <w:rPr>
          <w:b/>
        </w:rPr>
        <w:t xml:space="preserve">Quelle: </w:t>
      </w:r>
      <w:r>
        <w:t>https://mcp.opencaselaw.ch/entscheid/fr_gerichte_601_2015_87</w:t>
      </w:r>
    </w:p>
    <w:p>
      <w:r>
        <w:t>FR: FR_GERICHTE 601 2015 87 du 23 mai 2017</w:t>
      </w:r>
    </w:p>
    <w:p>
      <w:r>
        <w:t>IT: FR_GERICHTE 601 2015 87 del 23 maggio 2017</w:t>
      </w:r>
    </w:p>
    <w:p>
      <w:pPr>
        <w:pStyle w:val="Heading2"/>
      </w:pPr>
      <w:r>
        <w:t>Regeste</w:t>
      </w:r>
    </w:p>
    <w:p>
      <w:r>
        <w:t>Arrêt de la Ie Cour administrative du Tribunal cantonal | Amtsträger der Gemeinwesen</w:t>
      </w:r>
    </w:p>
    <w:p>
      <w:pPr>
        <w:pStyle w:val="Heading2"/>
      </w:pPr>
      <w:r>
        <w:t>Erwägungen</w:t>
      </w:r>
    </w:p>
    <w:p>
      <w:r>
        <w:rPr>
          <w:b/>
        </w:rPr>
        <w:t>E. 1</w:t>
      </w:r>
    </w:p>
    <w:p>
      <w:r>
        <w:t>A.________, recourante, représentée par Me Louis-Marc Perroud, avocat (601 2015 87)</w:t>
      </w:r>
    </w:p>
    <w:p>
      <w:r>
        <w:rPr>
          <w:b/>
        </w:rPr>
        <w:t>E. 2</w:t>
      </w:r>
    </w:p>
    <w:p>
      <w:r>
        <w:t>Les recourants réclament l’allocation de prestations pour la période antérieure au 1er janvier 2010, alors même que l’ordonnance du 22 décembre 2009 indique expressément que les nouvelles dispositions cantonales seront applicables « sans effet rétroactif ». En ce sens, par le biais de leurs demandes du 28 juillet 2010 et par l’intermédiaire de leurs recours au Conseil d’Etat du 22 mars 2013, les deux collaborateurs attaquent les prescriptions, respectivement les modalités, de l’ordonnance du Conseil d’Etat du 22 décembre 2009. Il sied dès lors de déterminer la nature juridique de l’ordonnance précitée, de manière à déterminer les voies de droit pour la contester. a) Pour être susceptibles d’un recours devant les instances cantonales, les actes attaqués doivent être considérés comme des décisions. L’art. 4 CPJA définit les décisions comme étant des mesures de caractère obligatoire prises dans un cas d’espèce en application du droit public et qui ont pour objet de créer, modifier ou annuler des droits ou des obligations (let. a), de constater l’existence, l’inexistence ou le contenu des droits ou d’obligations (let. b), de rejeter ou de déclarer irrecevables des demandes tendant à créer, modifier, annuler ou constater des droits ou des obligations (let. c). La décision a la particularité de toucher, par son contenu, la situation juridique du destinataire. Elle est un acte individuel et concret s’adressant à une ou plusieurs personnes déterminées dans un cas d’espèce. Vu sa portée, elle doit satisfaire à certaines exigences de forme. En principe, il faut accorder à l'administré le droit d'être entendu au préalable (art. 57 ss CPJA). La décision doit revêtir la forme écrite (art. 68 CPJA), être désignée comme telle, être motivée et indiquer les voies de droit (art. 66 CPJA). Cette notion s’oppose à celle d’actes normatifs cantonaux. Ces derniers comprennent toutes les lois et ordonnances édictées par les autorités cantonales et contiennent par définition des règles générales et abstraites destinées à s’appliquer à un nombre indéterminé de personnes qui Tribunal cantonal TC Page 4 de 12 rentreront ultérieurement dans leur champ d’application (arrêt TF 2C_589/2016 du 8 mars 2017, consid. 6.2.1 et les références citées). Entre ces deux notions se trouvent des actes administratifs hybrides, dont en particulier les décisions générales. Il s’agit d’actes qui, comme une décision particulière, régissent une situation déterminée, mais qui, à l’instar d’une norme légale, s’adressent à un nombre important de personnes qui ne sont individuellement pas déterminées. Ces actes ont vocation à s’appliquer directement à la majorité des intéressés potentiels en fonction d’une situation de fait suffisamment concrète, sans qu’il ne soit besoin de les mettre en œuvre au moyen d’un autre acte de l’autorité (arrêts TF 2C_589/2016 du 8 mars 2017, consid. 6.2.2 et les références citées; 5A_981/2014 du 12 mars 2015, consid. 5.1; 2A_609/2010 du 18 juin 2011, consid. 1.1.1). En ce sens, la décision générale peut être appliquée et exécutée sans autre mesure concrète et n’appelle pas une individualisation ultérieure (arrêt TF 8C_130/2014 du 22 janvier 2015, in SJ 2015 I p. 293). b) Selon la doctrine et la jurisprudence, sont considérées comme des décisions générales, par exemple, l’interdiction d’une manifestation, les réglementations locales du trafic (ATF 126 IV 48, 51; 101 Ia 73 consid. 3b, JdT 1977 I 67), un arrêté suspendant l’augmentation de traitement du personnel enseignant d’un canton pendant une année scolaire déterminée (ATF 125 I 313), des directives municipales réglant le bruit du tir lors d’une fête (ATF 126 II 300) ou encore l’adaptation de la structure de l’espace aérien autour de l’aéroport de Zurich selon la législation sur l’aviation (arrêt TAF 2008/18 du 2 avril 2008, consid. 1) (TANQUEREL, Manuel de droit administratif, 2011, no 810). Dans un arrêt relativement récent, le Tribunal fédéral a eu l’occasion de se prononcer sur la notion de décision générale et sur la nécessité d’attaquer un tel acte dans le délai de recours institué par la loi. Dans cette affaire, il était question, pour les agents de la police municipale de la Ville de Genève, d’être soumis à un nouvel horaire de travail. Par lettre circulaire du 31 octobre 2011, le conseiller administratif en charge du département municipal avait informé les agents des modalités relatives à cette modification. Lors d’une séance tenue le 23 novembre 2011, le Conseil municipal avait pris acte de la décision du conseiller administratif susmentionné et un extrait du procès- verbal de cette séance avait été diffusé dans les postes de la police municipale par courriel du</w:t>
      </w:r>
    </w:p>
    <w:p>
      <w:r>
        <w:rPr>
          <w:b/>
        </w:rPr>
        <w:t>E. 6</w:t>
      </w:r>
    </w:p>
    <w:p>
      <w:r>
        <w:t>a) Au vu de l’ensemble de ce qui précède, les recours doivent dès lors être rejetés, et les décisions du 27 mai 2015 du Conseil d’Etat n’accordant pas le droit aux prestations, confirmées sur le principe. Tribunal cantonal TC Page 12 de 12 b) Compte tenu de l’issue du recours, il appartient aux recourants qui succombent de supporter les frais de justice (art. 131 CPJA). Pour le même motif, il n’est pas alloué d'indemnité de partie à leur mandataire (art. 137 CPJA). c) En revanche, il leur incombe de verser une indemnité de partie aux intimés qui ont fait appel à un mandataire commun pour défendre leurs intérêts (arrêt TC FR 601 2008 117 du 1er octobre 2008 consid. 4). Considérant la liste de frais produite par Me Luke H. Gillon le 16 mai 2017 et en application du tarif horaire de CHF 230.- appliqué jusqu’au 30 juin 2015, et respectivement du tarif horaire de CHF 250.- prévu depuis le 1er juillet 2015 par l’art. 8 du tarif cantonal du 17 décembre 1991 des frais de procédure et des indemnités en matière de juridiction administrative (Tarif JA; RSF 150.12), une indemnité correspondant à 25.58 heures de travail, plus CHF 62.80 de débours, TVA en sus, sera allouée, soit un montant total de CHF 6'939.25 (CHF 6'362.45 d’honoraires + CHF 62.80 de débours + CHF 514 de TVA). la Cour arrête: I. Les recours (601 2015 87 et 601 2015 88) sont rejetés. II. Les frais judiciaires, par CHF 2'000.-, sont mis solidairement à la charge des recourants et compensés avec les avances de frais effectuées. III. Il est alloué à C.________ et à D.________, à titre d’indemnité de partie, un montant de CHF 6'939.25 (y compris CHF 514.- de TVA), à verser en mains de leur mandataire commun, à la charge des recourants. IV. Communication. Cette décision peut faire l'objet d'un recours auprès du Tribunal fédéral, à Lucerne,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23 mai 2017ape/sei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