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11 vom 30. September 2016</w:t>
      </w:r>
    </w:p>
    <w:p>
      <w:r>
        <w:t>FR Kantonsgericht, 2016-09-30, DE</w:t>
      </w:r>
    </w:p>
    <w:p>
      <w:r>
        <w:rPr>
          <w:b/>
        </w:rPr>
        <w:t xml:space="preserve">Quelle: </w:t>
      </w:r>
      <w:r>
        <w:t>https://mcp.opencaselaw.ch/entscheid/fr_gerichte_601_2015_11</w:t>
      </w:r>
    </w:p>
    <w:p>
      <w:r>
        <w:t>FR: FR_GERICHTE 601 2015 11 du 30 septembre 2016</w:t>
      </w:r>
    </w:p>
    <w:p>
      <w:r>
        <w:t>IT: FR_GERICHTE 601 2015 11 del 30 settembre 2016</w:t>
      </w:r>
    </w:p>
    <w:p>
      <w:pPr>
        <w:pStyle w:val="Heading2"/>
      </w:pPr>
      <w:r>
        <w:t>Regeste</w:t>
      </w:r>
    </w:p>
    <w:p>
      <w:r>
        <w:t>Entscheid des I. Verwaltungsgerichtshofes des Kantonsgerichts | Amtsträger der Gemeinwesen</w:t>
      </w:r>
    </w:p>
    <w:p>
      <w:pPr>
        <w:pStyle w:val="Heading2"/>
      </w:pPr>
      <w:r>
        <w:t>Erwägungen</w:t>
      </w:r>
    </w:p>
    <w:p>
      <w:r>
        <w:rPr>
          <w:b/>
        </w:rPr>
        <w:t>E. 1</w:t>
      </w:r>
    </w:p>
    <w:p>
      <w:r>
        <w:t>VRG nicht von Amtes wegen festgestellt wird. Gemäss Art. 55 Abs. 1 ZPO haben die Parteien dem Gericht die Tatsachen, auf die ihre Begehren stützen, darzulegen und die Beweismittel anzugeben. Vorbehalten bleiben gesetzliche Bestimmungen über die Feststellung des Sachverhaltes und die Beweiserhebung von Amtes wegen (Abs. 2), wie zum Beispiel Art. 247 Abs.</w:t>
      </w:r>
    </w:p>
    <w:p>
      <w:r>
        <w:rPr>
          <w:b/>
        </w:rPr>
        <w:t>E. 2</w:t>
      </w:r>
    </w:p>
    <w:p>
      <w:r>
        <w:t>a) Die Klägerin bringt vor, die Aufhebungsvereinbarung sei nichtig. Ihr sei die fixfertig vorformulierte Vereinbarung anlässlich des Gesprächs vom 18. November 2014 erstmals unterbreitet worden, ohne ihr eine angemessene Bedenkzeit einzuräumen. Zudem sei ihr erst am Gespräch selbst mitgeteilt worden, dass es um die Auflösung des Arbeitsverhältnisses gehe, so dass sie mit der Vereinbarung völlig überrumpelt worden sei. Zwar sei ein ungültig zustande gekommener Aufhebungsvertrag nach der Rechtsprechung als fristlose Entlassung zu werten. Dies gehe vorliegend jedoch nicht an. Den Voraussetzungen von Art. 59 Abs. 2 des Reglements würde nicht in geringster Weise nachgekommen. Die Kündigung enthalte keine Begründung und entbehre jeglicher Grundlage und Logik. Die Stelle sei nämlich nicht abgeschafft worden und die Arbeitgeberin sei gemäss den Bewertungen mit den Leistungen der Klägerin in höchstem Mass zufrieden gewesen. Es habe kein Grund zur fristlosen Entlassung bestanden. Die Beklagte bestreitet, dass die Klägerin durch das Nichtgewähren einer Bedenkzeit überrumpelt worden sei. Sie hätte immerhin eine Überlegungsfrist von rund zwei Stunden gehabt und sei nicht vor einen „fait accompli“ gestellt worden. Es seien ihr im Gegenteil Handlungsalternativen vorgelegt worden und der Entscheid zum Abschluss der Aufhebungsvereinbarung sei ihr überlassen worden. Sie hätte auf die Unterschrift verzichten können und dann wäre das ordentliche Kündigungsverfahren eingeleitet worden, für das es genügend Gründe gegeben habe. Die Vereinbarung sei im Übrigen für die Klägerin auch deutlich günstiger als eine Kündigung nach Gesetz. Ausserdem bringt sie vor, dass auch mangels eingeräumter Bedenkfrist der Vertrag nicht nichtig wäre und von einer fristlosen Entlassung ebenfalls nie die Rede gewesen sei. Schliesslich weist sie darauf hin, dass die Behauptungen der Klägerin ihrem tatsächlichen Verhalten widersprechen würden. Die Klägerin habe das Büro noch am gleichen Tag geräumt, habe das Angebot der Outplacement-Beratungen vereinbarungsgemäss wahrgenommen und habe auch die vertragsgemäss ausgerichtete Abgangsentschädigung vorbehaltlos akzeptiert. Noch während der Freistellung habe sie C.________ verlassen und sei nach H.________ umgezogen. Wenn sie gleichzeitig erkläre, dass sie die Vereinbarung für nichtig erachte, handle sie klar widersprüchlich und verletze den Grundsatz von Treu und Glauben. Der Vertrag sei bislang von beiden Parteien vollumfänglich eingehalten worden. b) Es versteht sich von selbst, dass der Gesetzgeber mit der Zulassung der einvernehmlichen Aufhebung des Dienstverhältnisses der Behörde einen Gestaltungsspielraum eingeräumt hat. Die Behörde kann somit in einem gewissen Masse von den ordentlichen Regeln abweichen, um den Gegebenheiten des Einzelfalls Rechnung zu tragen, soweit dies unter Beachtung des Verhältnismässigkeitsprinzips, des Gleichbehandlungsgebots und des</w:t>
      </w:r>
    </w:p>
    <w:p>
      <w:r>
        <w:t>Kantonsgericht KG Seite 8 von 12 Grundsatzes von Treu und Glauben als gerechtfertigt erscheint. Die gefundene Lösung darf im Ergebnis zudem nicht willkürlich sein (Urteil KG FR 601 2013 5 vom 19. März 2014 E. 6). Der Einzelfall ist auf die Einhaltung der allgemeinen Verwaltungsprinzipien (Art. 8 und 9 VRG) zu überprüfen. Daraus folgt insbesondere, dass mit der Aufhebungsvereinbarung die ordentlichen Bestimmungen über die Auflösung des Dienstverhältnisses sowie die durch dieses gewährten prozessualen Garantien nicht umgangen werden dürfen. Die Vereinbarung muss ausgeglichen sein und in einem vernünftigen Zusammenhang mit dem Einzelfall stehen. Die Einhaltung dieser allgemeinen Grundsätze des Verwaltungsrechts entspricht weitgehend den vom Obligationenrecht entwickelten Grundsätzen über die Gültigkeit von Aufhebungsvereinbarungen im Privatrecht. Die in diesem Gebiet ergangene Rechtsprechung (vgl. unten), ist mithin auch im öffentlichen Recht anwendbar. Das Reglement verweist ausserdem ausdrücklich auf die Bestimmungen des Obligationenrechts (vgl. Art. 68 Reglement), so dass diese zum öffentlichen Recht der beklagten Gemeinde werden (vgl. Urteil BGer 8C_811/2011 vom 12. März 2012 E. 4.3). Nach bundesgerichtlicher Rechtsprechung kann ein Vertrag über die Aufhebung eines Arbeitsverhältnisses zulässig sein, sofern er nicht zu einer klaren Umgehung des zwingenden gesetzlichen Kündigungsschutzes führt. Eine solche Vereinbarung unterliegt ungeachtet der im [Anstellungs-]Vertrag für Ergänzungen und Abänderungen verlangten Schriftform keinerlei Formvorschriften. Wird der Vertrag vom Arbeitgeber aufgesetzt, muss dem Arbeitnehmer aber eine genügende Überlegungsfrist zur Verfügung stehen. Ist ein übereinstimmender Wille, das Arbeitsverhältnis zu beenden, erstellt, ist für die Gültigkeit einer derartigen Vereinbarung, soweit sie einen Verzicht auf Ansprüche aus zwingendem Recht bedeutet, zusätzlich vorausgesetzt, dass der Aufhebungsvertrag einen echten Vergleich darstellt, bei welchem beide Parteien Konzessionen machen (Urteil BGer 4A_103/2010 vom 16. März 2010 E. 2.2 m. H.). Sind diese Voraussetzungen nicht erfüllt, bindet die Aufhebungsvereinbarung die Parteien nicht. In diesem Fall ist gemäss Rechtsprechung und Lehre davon auszugehen, dass an Stelle der Vereinbarung die ordentliche gesetzliche Regelung Anwendung findet und die Parteien wieder so zu stellen sind, wie wenn sie keine solche Vereinbarung getroffen hätten. Wurde durch den ungültigen Aufhebungsvertrag das Arbeitsverhältnis vor Ablauf der ordentlichen Kündigungsfrist beendet, gilt es zu klären, ob der Arbeitgeber den Vertrag ordentlich oder mit sofortiger Wirkung aufgelöst hätte, falls keine vertragliche Lösung zustande gekommen wäre. Je nachdem kann der Angestellte eine Lohnzahlung bis zum Ende der ordentlichen Kündigungsfrist – beziehungsweise für die in Anwendung von Art. 324a (unverschuldete Verhinderung des Arbeitnehmers) und Art. 336c (Kündigung zur Unzeit) OR verlängerte Dauer – oder Schadenersatz und Genugtuung gestützt auf Art. 337c Abs. 1 und 3 OR (ungerechtfertigte fristlose Entlassung) verlangen. Der Arbeitnehmer hat gegebenenfalls den Beweis zu erbringen, dass ihm fristlos gekündigt worden wäre (vgl. zum Ganzen: Urteil BGer 4A_495/2007 vom 12. Januar 2009, E. 4.3.1.1 f. m. H.; vgl. auch Entscheid des Personalrekursgerichts des Kantons Aargau 2-KL.2008.15 vom 27. Januar 2010 E. 4.1, publ. in AGVE 2010 S. 381 ff.). c) Daraus folgt, dass entgegen den Vorbringen der Klägerin ein ungültiger Aufhebungsvertrag nicht in jedem Fall als fristlose Kündigung zu werten ist. Vielmehr gilt es nach Vorerwähntem zu analysieren, ob der Anstellungsvertrag ordentlich oder fristlos aufgelöst worden wäre, wenn die Aufhebungsvereinbarung nicht zustande gekommen wäre. Dass das Dienstverhältnis der Klägerin tatsächlich fristlos aufgelöst worden wäre, macht diese überhaupt nicht geltend. Die Beklagte dagegen hat unter Beilage des entsprechenden Auszugs aus dem</w:t>
      </w:r>
    </w:p>
    <w:p>
      <w:r>
        <w:t>Kantonsgericht KG Seite 9 von 12 Protokoll der Sitzung des Gemeinderates erklärt, dieser habe entschieden, das Verhältnis allenfalls auf dem ordentlichen Kündigungsweg zu beenden (vgl. Klageantwort, S. 10 N 35; act. 557 f.). Da die Klägerin auch keine verlängerte Kündigungsfrist aufgrund einer unstatthaften Auflösung des Dienstverhältnisses (vgl. Art. 63 Reglement) geltend macht, ist die Angelegenheit ausschliesslich auf die Einhaltung der Vorschriften über das ordentliche Kündigungsverfahren zu überprüfen. Gemäss Art. 59 Abs. 1 und 2 des Reglements kann das Angestelltenverhältnis auf Ende eines Monats unter Beachtung einer dreimonatigen Frist aus sachlichen Gründen schriftlich gekündigt werden. Entgegen dem StPG (vgl. Art. 39) sieht das Reglement nicht vor, dass der ordentlichen Kündigung eine Verwarnung vorauszugehen hat. Gemäss Art. 70 des kantonalen Gesetzes vom 25. September 1980 über die Gemeinden (GG; SGF 140.1) können diese mit einem allgemein verbindlichen Reglement ihre eigenen Regelungen über das Personal erlassen. Das StPG gilt sinngemäss nur dann, wenn die Gemeinde kein allgemein verbindliches Reglement erlassen hat, bzw. nach Art. 68 des Reglements der Beklagten, wenn Bestimmungen fehlen. Die Beklagte hat das ordentliche Kündigungsverfahren in Art. 59 des Reglements geregelt, so dass die entsprechenden Bestimmungen des StPG nicht zur Anwendung kommen. Eine Verwarnung bildet mithin keine Voraussetzung, um einem Mitarbeitenden ordentlich kündigen zu können. Der Anstellungsvertrag der Klägerin wurde mittels Aufhebungsvereinbarung am 18. November 2014 auf den 28. Februar 2015 gekündigt, das heisst unter Einhaltung der dreimonatigen ordentlichen Kündigungsfrist. Eine Kündigung ist grundsätzlich dann sachlich begründet, wenn die Weiterbeschäftigung des betreffenden Angestellten dem öffentlichen Interesse, insbesondere demjenigen einer gut funktionierenden Verwaltung, widerspricht. Dies kann bei unzureichenden Leistungen, unbefriedigendem Verhalten, erheblichen Störungen der Arbeitsgemeinschaft oder aus betrieblichen Gründen der Fall sein. Auf jeden Fall als unsachlich gelten Kündigungen, welche im Sinne des OR missbräuchlich (Art. 63 lit. f Reglement in Verbindung mit Art. 336 OR) wären (vgl. Urteil BGer 8C_826/2009 vom 1. Juli 2010 E. 2). Dass die Kündigung missbräuchlich in diesem Sinne war, wird von der Klägerin nicht behauptet. Die Beklagte macht hingegen geltend, seit rund zwei Jahren hätten sich die Rügen verschiedener Mitarbeitenden hinsichtlich der Arbeitsweise und dem Verhalten der Klägerin gehäuft (Klageantwort, S. 5, Ziff. 18). Die Klägerin bringt vor, davon nichts gewusst zu haben, die Zeitspanne entspreche allerdings derjenigen, seit der Frau I.________ als F.________ bei der Beklagten arbeite. Diese habe mit ihrer Art das Arbeitsklima innerhalb der E.________ beträchtlich verändert (Replik, S. 12, Ziff. 18.1). Nach der Beklagten hätten sich auch die Bürgerinnen und Bürger über die Klägerin beschwert. Gemäss dem eingereichten anonymen Brief soll der Umgangston der Klägerin inakzeptabel sein, soll diese während der Arbeitszeit extern Kaffeetrinken gegangen sein oder J.________ nach eigenem Gutdünken annulliert haben (Klageantwort, S. 5, Ziff. 19; act. 703 f.). Die Klägerin antwortete darauf, nie über entsprechende Beschwerden in Kenntnis gesetzt worden zu sein. Allerdings treffe es zu, dass sie einmal extern Kaffee trinken ging und dabei vergass auszustempeln. Sie habe jedoch den Stadtschreiber umgehend informiert. Sie sei aber auch öfters am Wochenende im Büro gewesen, um unerledigte Arbeiten zu machen. Dafür habe sie jeweils nicht eingestempelt. Ausserdem hätte Frau I.________ an diesem besagten Morgen das Telefon</w:t>
      </w:r>
    </w:p>
    <w:p>
      <w:r>
        <w:t>Kantonsgericht KG Seite 10 von 12 einfach läuten lassen, ohne sich darum zu kümmern. Dies sei der Grund dafür gewesen, dass, wie im Bürgerbrief erwähnt, niemand den eingehenden Telefonanruf beantwortet habe. Was das Annullieren von J.________ betreffe, habe ihr der Chef der E.________ als Leiterin seines Sekretariats mitgeteilt, dass sie je nach Situation selber abwägen dürfe, ob J.________ zu erlassen sei oder nicht. Sie verfüge mittlerweile über eine langjährige Erfahrung auf diesem Gebiet und sei sehr wohl in der Lage (gewesen), solche Entscheidungen zu treffen (Replik, S. 14 f., Ziff. 19.2 f.). Die Beklagte bringt auch noch folgendes vor: Im Februar 2014 sei der Chef der E.________ erkrankt, so dass er mehrere Monate nicht an seinem Arbeitsplatz sein konnte. Der stellvertretende Chef habe vorübergehend die Leitung des Dienstes übernommen. Schnell habe sich jedoch gezeigt, dass ihm die für die Ausübung der Funktion nötigen Informationen vorenthalten worden sind. Später habe sich herausgestellt, dass sich der Informationsfluss im Team der E.________ seit längerem auf einen Austausch zwischen dem Chef und der Klägerin als dessen Sekretärin beschränkt habe. Anstatt den Stellvertreter bei der Erfüllung seiner Aufgaben als Chef a.i. zu unterstützen und die nötigen Informationen an ihn und die anderen Mitarbeitenden weiterzuleiten, habe die Klägerin ihren Informationsvorsprung während der krankheitsbedingten Abwesenheit des Chefs gezielt für sich auszunutzen gewusst, was schliesslich dazu geführt habe, dass sie sich Führungsaufgaben im Team angeeignet habe, die ihr keineswegs zugestanden haben (Klageantwort, S. 5 f., Ziff. 21 f.). Auch hier hat die Klägerin eine ganz andere Sicht der Dinge. Zwar treffe es zu, dass der stellvertretende Chef nicht über die nötigen Informationen für die vorübergehende Leitung des Dienstes verfügt habe. Sie sei aber lediglich für den administrativen Bereich zuständig gewesen und konnte ihm deshalb überhaupt keine Informationen aus dem K.________ Bereich vorenthalten. Das Problem habe darin gelegen, dass der Chef sehr viele Aufgaben selber ausgeführt und nicht an seine Mitarbeiter delegiert habe. In der schwierigen Situation habe sie sich voll für die E.________ eingesetzt und habe so gut sie konnte geholfen. Sie sei in dieser Zeit auch mit Aufgabenstellungen konfrontiert worden, für welche sie nicht ausgebildet war und welche eigentlich in die Kompetenz des stellvertretenden Chefs gefallen wären. Sie habe immer ihr Bestes gegeben und sich nach bestem Wissen und Gewissen eingesetzt. Sie sei manchmal aber auch überfordert gewesen, was, im Nachhinein betrachtet, völlig normal und nachvollziehbar sei. Ihr sei die Erledigung von Aufgaben zugemutet worden, ohne dass sie nützliche Instruktionen erhalten hätte. Sie habe versucht, diese Aufgaben im besten Sinne und in bester Absicht zu lösen (vgl. Replik, S. 15 f., Ziff. 21). Schliesslich erwähnt die Klägerin noch, dass sie als Kadermitglied korrigierend auf ihre Arbeits- kollegen habe einwirken müssen (vgl. Replik, S. 5 f., Ziff. 9.4 und S. 19, Ziff. 25.2/5). Die Beklagte ist hingegen der Meinung, genau diese Funktion habe ihr als Sekretärin gemäss dem Pflichtenheft nicht zugestanden. Sie habe über keinerlei Weisungskompetenzen verfügt (Duplik, Ziff. 1). Namentlich aus diesen ausgewählten Passagen der Rechtsschriften der Parteien geht eindeutig hervor, dass sich deren Ansichten über die Arbeitsweise und das Verhalten der Klägerin – entsprechend den Feststellungen des externen Beraters – diametral gegenüber stehen. Daran vermögen die von der Klägerin eingereichten positiven Zwischenzeugnisse nichts zu ändern, zumal sie von ihrem früheren Vorgesetzten ausgestellt worden sind. Unter diesen Gegebenheiten ist tatsächlich davon auszugehen, dass die Weiterbeschäftigung der Klägerin insbesondere auch nach dem Weggang des früheren Chefs mit dem Ziel einer gut funktionierenden Verwaltung nicht mehr vereinbar war. Damit erscheint eine ordentliche Kündigung der Klägerin sachlich gerechtfertigt.</w:t>
      </w:r>
    </w:p>
    <w:p>
      <w:r>
        <w:t>Kantonsgericht KG Seite 11 von 12 Aus Vorerwähntem ist zu schliessen, dass der Anstellungsvertrag der Klägerin, hätte diese die Aufhebungsvereinbarung nicht unterschrieben, per 28. Februar 2015 gültig aufgelöst worden wäre. Der Klägerin ist ihr Lohn bis zu diesem Datum ausbezahlt worden. Darüber hinaus hat sie einen Betrag im Umfang von zwei Monatslöhnen erhalten. Daraus folgt, dass selbst, wenn der Aufhebungsvertrag die Parteien nicht binden würde, das Arbeitsverhältnis zwischen den Parteien auf den 28. Februar 2015 aufgelöst wurde und dass die Klägerin mithin keinen Anspruch auf Lohnfortzahlung ab dem 1. März 2015 hat. Auch der Antrag auf Ausstellung eines Zwischenzeugnisses ist damit unbegründet. Die Frage, ob die Aufhebungsvereinbarung die Parteien bindet oder nicht, kann deshalb offen gelassen werden. Die Klage ist abzuweisen.</w:t>
      </w:r>
    </w:p>
    <w:p>
      <w:r>
        <w:rPr>
          <w:b/>
        </w:rPr>
        <w:t>E. 3</w:t>
      </w:r>
    </w:p>
    <w:p>
      <w:r>
        <w:t>a) Das Beschwerdeverfahren vor dem Kantonsgericht ist kostenlos, soweit dies bei privatrechtlichen Arbeitsstreitigkeiten vorgesehen ist, und in den Fällen, die der Gesetzgebung über die Gleichstellung von Frau und Mann unterstehen. Diese Bestimmung gilt auch für Beschwerden an den Oberamtmann oder an das Kantonsgericht über das Arbeitsverhältnis des Personals, das dem Gesetz über die Gemeinden untersteht (Art. 134a Abs. 2 VRG). Gemäss Art. 114 lit. c ZPO werden im Entscheidverfahren bei Streitigkeiten aus dem Arbeitsverhältnis bis zu einem Streitwert von CHF 30‘000.- keine Gerichtskosten gesprochen. Vorliegend ist nicht nur die Streitwertgrenze überschritten (vgl. E. 1 d hiervor), sondern die Sache ist im Klage- und nicht in einem Beschwerdeverfahren behandelt worden, so dass Gerichtskosten zu sprechen sind. Die auf CHF 1‘500.- festgesetzten Gerichtskosten werden der unterliegenden Klägerin auferlegt (vgl. Art. 131 Abs. 1 VRG). Sie werden mit dem geleisteten Vorschuss in derselben Höhe kompensiert. b) Die Klägerin wird ausserdem verpflichtet, der Beklagten, deren Vermögensinteressen mit vorliegendem Verfahren betroffen sind, eine Parteientschädigung zu bezahlen (Art. 137 ff. VRG). Das Honorar für die Vertretung oder die Verbeiständung einer Partei wird zwischen CHF 200.- und CHF 10‘000.- festgesetzt. Bei besonders umfangreichen oder besonders komplizierten Angelegenheiten liegt der Höchstbetrag bei CHF 40‘000.-. Das als Parteientschädigung geschuldete Honorar wird nach einem Stundentarif von CHF 250.- festgesetzt. In Klagesachen wird das Honorar nach den Artikeln 66 und 67 des kantonalen Justizreglements vom 30. November 2010 (JR; SGF 130.11) festgesetzt (Art. 8 des kantonalen Tarifs der Verfahrenskosten und Entschädigungen in der Verwaltungsjustiz (Tarif VJ; SGF 150.12). Fürsprecher Gerhard Hauser macht für seine Aufwendungen (Besprechung, Aktenstudium/ Rechtsabklärungen, Verfassen der Klageantwort und Duplik) 23 Stunden zu CHF 250.- geltend. In Anbetracht der Art und der Schwierigkeit des Verfahrens erscheint dies als angemessen. Hinzu kommen CHF 250.- für die Korrespondenz und Telefonate (vgl. Art. 67 JR). Das Honorar ist somit antragsgemäss auf CHF 6‘000.-, zuzüglich CHF 100.- für die Auslagen und CHF 488.- MwSt (8% von CHF 6‘100.-). Die von A.________ der B.________ geschuldete Parteientschädigung ist somit auf CHF 6‘588.- festzusetzen.</w:t>
      </w:r>
    </w:p>
    <w:p>
      <w:r>
        <w:t>Kantonsgericht KG Seite 12 von 12 Der Hof erkennt: I. Die Klage wird abgewiesen. II. Die Prozesskosten werden A.________ auferlegt. a) Die Gerichtskosten werden auf CHF 1‘500.- festgesetzt und mit dem von A.________ geleisteten Kostenvorschuss in derselben Höhe kompensiert. b) A.________ wird verpflichtet, der B.________ eine Parteientschädigung von CHF 6‘588.- (inkl. MwSt von CHF 488.-) zu bezahlen. Ill.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30. September 2016/cth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