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109 vom 23. November 2016</w:t>
      </w:r>
    </w:p>
    <w:p>
      <w:r>
        <w:t>FR Kantonsgericht, 2016-11-23, FR</w:t>
      </w:r>
    </w:p>
    <w:p>
      <w:r>
        <w:rPr>
          <w:b/>
        </w:rPr>
        <w:t xml:space="preserve">Quelle: </w:t>
      </w:r>
      <w:r>
        <w:t>https://mcp.opencaselaw.ch/entscheid/fr_gerichte_601_2015_109</w:t>
      </w:r>
    </w:p>
    <w:p>
      <w:r>
        <w:t>FR: FR_GERICHTE 601 2015 109 du 23 novembre 2016</w:t>
      </w:r>
    </w:p>
    <w:p>
      <w:r>
        <w:t>IT: FR_GERICHTE 601 2015 109 del 23 novembre 2016</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(art. 79 ss du code fribourgeois du 23 mai 1991 de procédure et de juridiction administrative; CPJA; RSF 150.1), le présent recours est recevable en vertu des art. 7 de la loi fribourgeoise du 13 novembre 2007 d’application de la loi fédérale sur les étrangers (LALEtr; RSF 114.22.1). Le Tribunal cantonal peut entrer en matière sur ses mérites. b) A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w:t>
      </w:r>
    </w:p>
    <w:p>
      <w:r>
        <w:rPr>
          <w:b/>
        </w:rPr>
        <w:t>E. 2</w:t>
      </w:r>
    </w:p>
    <w:p>
      <w:r>
        <w:t>a) En vertu de l’art. 44 de la loi du 16 décembre 2005 sur les étrangers (LEtr; RS 142.20), l’autorité compétente peut octroyer une autorisation de séjour au conjoint étranger du titulaire d’une autorisation de séjour et à ses enfants célibataires de moins de 18 ans s’ils vivent en ménage commun avec lui, disposent d’un logement approprié et ne dépendent pas de l’aide sociale. b) Cette norme légale ne consacre toutefois aucun droit au regroupement familial et les cantons peuvent soumettre l’octroi de l’autorisation cas échéant à des conditions plus sévères (« Kann-Vorschrift »). Partant, même s’il satisfait aux exigences de l’art. 44 LEtr, un étranger au bénéfice d’une autorisation de séjour n’a pas un droit à obtenir une autorisation au titre de regroupement familial. Cet article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FR 601 2015 10 du 24 août 2015 consid. 2b et la référence citée). c) Les autorités cantonales de police des étrangers, en tant qu'autorités administratives fribourgeoises, sont toutefois liées par les dispositions générales du CPJA, notamment par les art. 8 et 9 CPJA qui régissent les activités des autorités. Elles doivent respecter les principes de la légalité, de l'égalité de traitement, de la proportionnalité, de la bonne foi et de l'interdiction de l'arbitraire. De plus, lorsqu'elles exercent leur pouvoir d'appréciation, elles doivent se fonder sur des critères objectifs et raisonnables (arrêt TC FR 601 2009 101 du 16 février 2010 consid. 4c). d) En l'espèce, le recourant est titulaire d'une autorisation de séjour annuelle, et il requiert une autorisation d'entrée et de séjour en faveur de son fils cadet, aujourd'hui âgé de 15 ans. Son fils aîné - majeur - n'est pas concerné par la présente procédure, ni du reste son épouse.</w:t>
      </w:r>
    </w:p>
    <w:p>
      <w:r>
        <w:rPr>
          <w:b/>
        </w:rPr>
        <w:t>E. 3</w:t>
      </w:r>
    </w:p>
    <w:p>
      <w:r>
        <w:t>a) Selon l’art. 47 LEtr, le regroupement familial doit être demandé dans les cinq ans. Pour les enfants de plus de 12 ans, le regroupement doit intervenir dans un délai de 12 mois (al. 1). L’alinéa 3 de cette disposition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w:t>
      </w:r>
    </w:p>
    <w:p>
      <w:r>
        <w:t>Tribunal cantonal TC Page 4 de 7 b) Selon la jurisprudence du Tribunal fédéral, c’est l’âge de l’enfant au moment du dépôt de la demande qui est déterminant (arrêt TF 2C_84/2010 du 1er octobre 2010 consid. 3.4). L’instauration des délais est principalement motivée par le besoin de garantir une intégration aussi rapide et efficace que possible des enfants des étrangers qui sont domiciliés en Suisse (ATF 133 II</w:t>
      </w:r>
    </w:p>
    <w:p>
      <w:r>
        <w:rPr>
          <w:b/>
        </w:rPr>
        <w:t>E. 6</w:t>
      </w:r>
    </w:p>
    <w:p>
      <w:r>
        <w:t>a) Sur le vu de ce qui précède, la décision querellée doit être confirmée et le recours rejeté. b) Le recourant qui succombe doit supporter les frais de procédure en application de l’art. 131 CPJA. Pour le même motif, il n’est pas alloué de dépens. la Cour arrête: I. Le recours est rejeté. II. Les frais de procédure, par CHF 600.-,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novembre 2016/mju/vba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