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48 vom 2. Dezember 2015</w:t>
      </w:r>
    </w:p>
    <w:p>
      <w:r>
        <w:t>FR Kantonsgericht, 2015-12-02, FR</w:t>
      </w:r>
    </w:p>
    <w:p>
      <w:r>
        <w:rPr>
          <w:b/>
        </w:rPr>
        <w:t xml:space="preserve">Quelle: </w:t>
      </w:r>
      <w:r>
        <w:t>https://mcp.opencaselaw.ch/entscheid/fr_gerichte_601_2014_48</w:t>
      </w:r>
    </w:p>
    <w:p>
      <w:r>
        <w:t>FR: FR_GERICHTE 601 2014 48 du 2 décembre 2015</w:t>
      </w:r>
    </w:p>
    <w:p>
      <w:r>
        <w:t>IT: FR_GERICHTE 601 2014 48 del 2 dicembre 2015</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présent recours est recevable en vertu de l’art. 7 de la loi d'application de la loi fédérale sur les étrangers (RSF 114.22.1), de sorte que le Tribunal cantonal peut entrer en matière sur ses mérites.</w:t>
      </w:r>
    </w:p>
    <w:p>
      <w:r>
        <w:t>Tribunal cantonal TC Page 4 de 8 b) Selon l’art. 77 du code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a) Aux termes de l'art. 44 de la loi fédérale sur les étrangers (LEtr; RS 142.20), l'autorité compétente peut octroyer une autorisation de séjour au conjoint étranger du titulaire d'une autorisation de séjour et à ses enfants célibataires étrangers de moins de 18 ans à condition qu'ils vivent en ménage commun avec lui (let. a), qu'ils disposent d'un logement approprié (let. b) et qu'ils ne dépendent pas de l'aide sociale (let. c). L'art. 77 de l'ordonnance relative à l'admission, au séjour et à l'exercice d'une activité lucrative (OASA; RS 142.201) prévoit à son al. 1 que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 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 (al. 2). Selon l'al. 4, l'étranger s'est bien intégré au sens de l'al. 1 let. a notamment lorsqu'il respecte l'ordre juridique suisse et les valeurs de la Constitution fédérale (let. a) ou manifeste sa volonté de participer à la vie économique et d'apprendre la langue nationale parlée au lieu de domicile (let. b). La bonne intégration en Suisse seule alléguée par le recourant à l'appui de son recours ne joue aucun rôle à l'égard de la réintégration sociale dans le pays de provenance, dont la loi exige au demeurant qu'elle soit fortement compromise (arrêt TF 2C_365/2011 du 12 mai 2011). b) A teneur de l'art. 30 al. 1 let. b LEtr, il est possible de déroger aux conditions d'admission (art. 18 à 29 LEtr) notamment dans le but de tenir compte des cas individuels d'une extrême gravité ou d'intérêts publics majeurs. 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ressort de la jurisprudence fédérale que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w:t>
      </w:r>
    </w:p>
    <w:p>
      <w:r>
        <w:t>Tribunal cantonal TC Page 5 de 8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130 II 39 consid. 3). Le Tribunal fédéral a relevé dans un arrêt récent qu'au Kosovo, si la stigmatisation des femmes divorcées reste d'actualité, celles-ci ont amélioré leur condition financière et sont devenues plus confiantes quant à leur capacité de vivre seules du fait de l'exercice plus fréquent d'une activité lucrative. Ainsi, la stigmatisation des femmes divorcées au Kosovo a essentiellement un impact sur un éventuel remariage, mais aucun élément ne vient attester de difficultés professionnelles (arrêt TF 2C_343/2014 du 13 janvier 2015 consid. 3.3). Il a également estimé que des enfants de 7, 5 et un an pouvaient s'adapter sans trop de difficultés à la vie au Kosovo (arrêt TF 2C_881/2012 du 16 janvier 2013, consid. 5.5). c) Selon l'art. 64 al. 1 LEtr, les autorités compétentes rendent une décision de renvoi ordinaire notamment à l'encontre d'un étranger qui n'a pas d'autorisation alors qu'il y est tenu (let. a), d'un étranger qui ne remplit pas ou ne remplit plus les conditions d'entrée en Suisse (let. b), ou d'un étranger auquel une autorisation est refusée ou dont l'autorisation, bien que requise, est révoquée ou n'est pas prolongée après un séjour autorisé (let. c).</w:t>
      </w:r>
    </w:p>
    <w:p>
      <w:r>
        <w:rPr>
          <w:b/>
        </w:rPr>
        <w:t>E. 3</w:t>
      </w:r>
    </w:p>
    <w:p>
      <w:r>
        <w:t>a) En l'espèce, la recourante prétend à la prolongation de son autorisation de séjour et de celle de ses filles. Toutefois, étant divorcée, elle ne peut plus obtenir le renouvellement de celle-ci sur la base de l'art. 44 LEtr. Elle ne le conteste d'ailleurs pas. Il convient d'examiner si elle peut prétendre à ce renouvellement sur la base d'autres dispositions légales. Son autorisation de séjour ayant été octroyée sur la base de l'art. 44 LEtr, sa demande doit être examinée sous l'angle de l'art. 77 OASA. L'art. 77 al. 1 let. a OASA prévoit deux conditions cumulatives: la communauté conjugale a existé au moins trois ans et l'intégration est réussie. Dans le cas présent, la date de la séparation de la recourante et de son mari n'est pas clairement établie. Il n'est toutefois pas nécessaire de la fixer précisément. En effet, la recourante, entrée en Suisse le 30 mai 2007, indique dans son recours du 27 mars 2014 qu'elle vit avec le père de ses enfants depuis plus de quatre ans, soit dès avant le 27 mars 2010. La communauté conjugale a dès lors duré moins trois ans. La première condition de l'art. 77 al. 1 let. a OASA n'étant pas remplie, celle de l'intégration réussie peut rester ouverte. Ainsi, la recourante ne peut pas se fonder sur l'art. 77 al. 1 let. a OASA pour obtenir une autorisation de séjour. b) L'art. 77 al. 1 let. b OASA, qui vise les cas où la poursuite du séjour en Suisse s'impose pour des raisons personnelles majeures, n'est pas non plus applicable. En effet, le mariage de la recourante n'a pas été conclu en violation de sa libre volonté et elle n'indique pas avoir été victime de violence conjugale. Il n'est pas non plus démontré que son intégration dans son pays de provenance, où elle a vécu jusqu’à l’âge de 30 ans, n'est plus possible après un séjour en Suisse</w:t>
      </w:r>
    </w:p>
    <w:p>
      <w:r>
        <w:t>Tribunal cantonal TC Page 6 de 8 d'un peu plus de huit ans. Au contraire, sa réinsertion dans son pays d’origine n’apparaît pas manifestement compromise. Elle a en effet gardé des attaches très fortes avec son pays dont elle maîtrise la langue et connaît les usages, et où elle est régulièrement retournée pour les vacances. Par ailleurs, sa mère et ses frères et sœurs, avec qui elle a gardé des contacts étroits, y résident. Ensuite, bien que ses deux filles soient nées et l'une est scolarisée en Suisse, elles sont en bas âge (6 et 2 ans) et parlent l'albanais, leur langue maternelle, de sorte qu'elles seront également en mesure de s'intégrer avec l'aide de leur mère. Elles pourront également être entourées de leur famille restée au Kosovo et par leur père, dont le recours est rejeté par décision séparée (601 2014 50). La recourant a du reste mentionné que sa famille avait bien réagi à l'annonce du divorce, de sorte que l'on ne voit pas pour quelle raison elle lui refuserait son aide. Elle pourra par ailleurs mettre à profit l'expérience acquise en Suisse lorsqu'elle sera de retour dans son pays, aucun élément n'attestant de difficultés professionnelles particulières pour les femmes divorcées. De plus, si elle soutient n'avoir jamais travaillé au Kosovo, ses dires sont contredits par le curriculum vitae qu'elle a produit le 12 mai 2011 et dans lequel figure une expérience d'"employée de bureau, secrétaire au Kosovo". Il résulte de ce qui précède qu'il n'existe pas de raisons personnelles majeures justifiant d'accorder à la recourante ou à ses filles le renouvellement de leur autorisation de séjour. Partant, le recours doit être rejeté et la décision de l'autorité intimée confirmée.</w:t>
      </w:r>
    </w:p>
    <w:p>
      <w:r>
        <w:rPr>
          <w:b/>
        </w:rPr>
        <w:t>E. 4</w:t>
      </w:r>
    </w:p>
    <w:p>
      <w:r>
        <w:t>a) La procédure n'étant pas gratuite, les frais de justice sont fixés à CHF 600.- et sont mis à la charge des recourantes qui succombent. b) Pour le même motif, elles n'ont pas droit à des dépens.</w:t>
      </w:r>
    </w:p>
    <w:p>
      <w:r>
        <w:t>Tribunal cantonal TC Page 8 de 8 la Cour arrête: I. Le recours (601 2014 48) est rejeté. Partant, la décision du 21 février 2014 est confirmée. II. Les frais de justice pour la procédure de recours, par CHF 600.-, sont mis à la charge des recourantes. III. Il n'est pas octroyé de dépens. IV. La requête du 27 mars 2014 d'assistance judiciaire totale (601 2014 49) est rejetée. V. Il n'est pas perçu de frais de justice pour la procédure d'assistance judiciaire. VI. Communication. Cette décision, en tant qu'elle a trait au refus de l'assistance judicaire,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décembre 2015/cso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