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503 2020 7</w:t>
      </w:r>
    </w:p>
    <w:p>
      <w:r>
        <w:t>FR Kantonsgericht, DE</w:t>
      </w:r>
    </w:p>
    <w:p>
      <w:r>
        <w:rPr>
          <w:b/>
        </w:rPr>
        <w:t xml:space="preserve">Quelle: </w:t>
      </w:r>
      <w:r>
        <w:t>https://mcp.opencaselaw.ch/entscheid/fr_gerichte_503_2020_7</w:t>
      </w:r>
    </w:p>
    <w:p>
      <w:pPr>
        <w:pStyle w:val="Heading2"/>
      </w:pPr>
      <w:r>
        <w:t>Regeste</w:t>
      </w:r>
    </w:p>
    <w:p>
      <w:r>
        <w:t>20201209_152639_ANOM.docx | Eheschutzmassnahmen</w:t>
      </w:r>
    </w:p>
    <w:p>
      <w:pPr>
        <w:pStyle w:val="Heading2"/>
      </w:pPr>
      <w:r>
        <w:t>Volltext</w:t>
      </w:r>
    </w:p>
    <w:p>
      <w:r>
        <w:t>Freiburg Kantonsgericht Strafkammer 00.00.0000 503 2020 7 Fribourg Tribunal cantonal Chambre pénale 00.00.0000 503 2020 7</w:t>
      </w:r>
    </w:p>
    <w:p>
      <w:r>
        <w:t>20201209_152639_ANOM.docx | Eheschutzmassnahmen</w:t>
      </w:r>
    </w:p>
    <w:p>
      <w:r>
        <w:t>Freiburg Kantonsgericht Strafkammer Fribourg Tribunal cantonal Chambre pénale Friburgo Strafkammer Präsident der Strafkammer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