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8 vom 21. Januar 2025</w:t>
      </w:r>
    </w:p>
    <w:p>
      <w:r>
        <w:t>FR Kantonsgericht, 2025-01-21, FR</w:t>
      </w:r>
    </w:p>
    <w:p>
      <w:r>
        <w:rPr>
          <w:b/>
        </w:rPr>
        <w:t xml:space="preserve">Quelle: </w:t>
      </w:r>
      <w:r>
        <w:t>https://mcp.opencaselaw.ch/entscheid/fr_gerichte_502_2025_8</w:t>
      </w:r>
    </w:p>
    <w:p>
      <w:r>
        <w:t>FR: FR_GERICHTE 502 2025 8 du 21 janvier 2025</w:t>
      </w:r>
    </w:p>
    <w:p>
      <w:r>
        <w:t>IT: FR_GERICHTE 502 2025 8 del 21 gennaio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CPP ; cf. art. 20 al. 1 let. b CPP) qui, dans le canton de Fribourg, est la Chambre pénale du Tribunal cantonal (ci-après : la Chambre pénale; art. 85 al. 1 de la loi sur la justice [LJ ; RSF 130.1]). L’art. 388 al. 2 CPP, dans sa teneur dès le 1er janvier 2024, prévoit que la direction de la procédure est compétente pour décider de ne pas entrer en matière sur les recours manifestement irrecevables (let. a), dont la motivation est manifestement insuffisante (let. b) et procéduriers ou abusifs (let. c). En l’espèce, il appert que le recours est insuffisamment motivé et par conséquent manifestement irrecevable (infra consid. 2) de sorte que le Président de la Chambre pénale est compétent pour trancher ce pourvoi.</w:t>
      </w:r>
    </w:p>
    <w:p>
      <w:r>
        <w:rPr>
          <w:b/>
        </w:rPr>
        <w:t>E. 1.2</w:t>
      </w:r>
    </w:p>
    <w:p>
      <w:r>
        <w:t>Remis à un bureau de poste suisse le 23 décembre 2024, le recours contre l'ordonnance de non-entrée en matière du 13 décembre 2024, notifié sous pli recommandé, a ainsi été interjeté dans le délai légal.</w:t>
      </w:r>
    </w:p>
    <w:p>
      <w:r>
        <w:rPr>
          <w:b/>
        </w:rPr>
        <w:t>E. 1.3</w:t>
      </w:r>
    </w:p>
    <w:p>
      <w:r>
        <w:t>Ayant un intérêt juridiquement protégé à l'annulation ou à la modification de l'ordonnance attaquée, le recourant, partie plaignante, a la qualité pour recourir (art. 382 al. 1 CPP).</w:t>
      </w:r>
    </w:p>
    <w:p>
      <w:r>
        <w:rPr>
          <w:b/>
        </w:rPr>
        <w:t>E. 1.4</w:t>
      </w:r>
    </w:p>
    <w:p>
      <w:r>
        <w:t>Le recours fait l'objet d'une procédure écrite (art. 397 al. 1 CPP).</w:t>
      </w:r>
    </w:p>
    <w:p>
      <w:r>
        <w:rPr>
          <w:b/>
        </w:rPr>
        <w:t>E. 2.1</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w:t>
      </w:r>
    </w:p>
    <w:p>
      <w:r>
        <w:t>Tribunal cantonal TC Page 3 de 4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w:t>
      </w:r>
    </w:p>
    <w:p>
      <w:r>
        <w:rPr>
          <w:b/>
        </w:rPr>
        <w:t>E. 2.2.1</w:t>
      </w:r>
    </w:p>
    <w:p>
      <w:r>
        <w:t>Dans l'ordonnance attaquée, le Ministère public a retenu que les "mesures d'investigations de la Police n'ont pas permis d'établir que B.________ avait commis une infraction à la législation sur les étrangers ou à celle sur le travail. En outre, B.________ n'était pas impliqué dans l'altercation qui a opposé C.________ à A.________." Il a, au surplus, évoqué une déclaration de l'intimé lors de son interrogatoire par la Police, selon laquelle "il n'avait pas vu le déroulement de I'altercation. ll était intervenu seulement pour les séparer. ll a certifié qu'il n'avait jamais demandé à A.________ de ne pas déposer plainte. ll a expliqué que C.________ avait effectué un stage d'environ deux semaines au sein du manège. Etant donné qu'il n'avait jamais travaillé avec des chevaux, ce dernier n'avait pas reçu de contrat de travail. ll devait effectuer le stage, puis partir. Après I'altercation, il avait quitté le manège pour une destination inconnue."</w:t>
      </w:r>
    </w:p>
    <w:p>
      <w:r>
        <w:rPr>
          <w:b/>
        </w:rPr>
        <w:t>E. 2.2.2</w:t>
      </w:r>
    </w:p>
    <w:p>
      <w:r>
        <w:t>Dans son pourvoi, le recourant se limite à relever que C.________ était présent dès le début de sa collaboration au sein du manège et que l'intimé lui aurait affirmé qu'il y travaillait depuis l'été 2023. Il n'a, toutefois, ajouter aucune autre explication à ce propos. De surcroit, le recourant a ajouté qu'à sa connaissance, l'intimé ne l'avait toujours pas "déclaré comme employé au manège D.________ pour la période du 8 janvier 2024 au 22 mars 2024." En outre, il confirme le fait que l'intimé n'était pas impliqué dans l'altercation en cause en expliquant que la mère de celui-ci était intervenue, et non pas lui-même, pour séparer le recourant et C.________.</w:t>
      </w:r>
    </w:p>
    <w:p>
      <w:r>
        <w:rPr>
          <w:b/>
        </w:rPr>
        <w:t>E. 2.2.3</w:t>
      </w:r>
    </w:p>
    <w:p>
      <w:r>
        <w:t>En l'espèce, force est de constater que le recourant ne discute pas les motifs retenus dans l'ordonnance attaquée, ni n'explique en quoi le Ministère public aurait méconnu le droit, respectivement dans quelle mesure sa décision serait erronée. Il ne fait qu'évoquer sa propre appréciation des faits.</w:t>
      </w:r>
    </w:p>
    <w:p>
      <w:r>
        <w:t>Tribunal cantonal TC Page 4 de 4 Au surplus, le recourant ne prend aucune conclusion et aucune conclusion ne peut être déduite implicitement de sa motivation. Au demeurant, il est relevé que le ch. 5 du dispositif de l’ordonnance querellée indique précisément que le recours doit être motivé. Aussi, il appert que la motivation du recours est manifestement insuffisante.</w:t>
      </w:r>
    </w:p>
    <w:p>
      <w:r>
        <w:rPr>
          <w:b/>
        </w:rPr>
        <w:t>E. 2.3</w:t>
      </w:r>
    </w:p>
    <w:p>
      <w:r>
        <w:t>Partant, le recours, ne remplissant pas les exigences minimales de motivation, doit être déclaré irrecevable pour ce motif, sans procédure de régularisation.</w:t>
      </w:r>
    </w:p>
    <w:p>
      <w:r>
        <w:rPr>
          <w:b/>
        </w:rPr>
        <w:t>E. 3</w:t>
      </w:r>
    </w:p>
    <w:p>
      <w:r>
        <w:t>Au vu de l’issue du recours, les frais de la procédure sont mis à la charge du recourant qui succombe (art. 428 al. 1 CPP). Ils sont fixés à CHF 150.- (émolument : CHF 100.- ; débours : CHF 50.-), selon le tarif prévu aux art. 33 ss du Règlement sur la justice (RJ ; RSF 130.11). le Président de la Chambre arrête : I. Le recours est irrecevable. II. Les frais de la procédure de recours, arrêtés à CHF 150.- (émolument : CHF 100.-; débours : CHF 50.-), sont mis à la charge de A.________.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janvier 2025/eca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