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 vom 21. Januar 2025</w:t>
      </w:r>
    </w:p>
    <w:p>
      <w:r>
        <w:t>FR Kantonsgericht, 2025-01-21, FR</w:t>
      </w:r>
    </w:p>
    <w:p>
      <w:r>
        <w:rPr>
          <w:b/>
        </w:rPr>
        <w:t xml:space="preserve">Quelle: </w:t>
      </w:r>
      <w:r>
        <w:t>https://mcp.opencaselaw.ch/entscheid/fr_gerichte_502_2025_7</w:t>
      </w:r>
    </w:p>
    <w:p>
      <w:r>
        <w:t>FR: FR_GERICHTE 502 2025 7 du 21 janvier 2025</w:t>
      </w:r>
    </w:p>
    <w:p>
      <w:r>
        <w:t>IT: FR_GERICHTE 502 2025 7 del 21 gennaio 2025</w:t>
      </w:r>
    </w:p>
    <w:p>
      <w:pPr>
        <w:pStyle w:val="Heading2"/>
      </w:pPr>
      <w:r>
        <w:t>Regeste</w:t>
      </w:r>
    </w:p>
    <w:p>
      <w:r>
        <w:t>Arrêt de la Chambre pénale du Tribunal cantonal | Strafrecht</w:t>
      </w:r>
    </w:p>
    <w:p>
      <w:pPr>
        <w:pStyle w:val="Heading2"/>
      </w:pPr>
      <w:r>
        <w:t>Erwägungen</w:t>
      </w:r>
    </w:p>
    <w:p>
      <w:r>
        <w:rPr>
          <w:b/>
        </w:rPr>
        <w:t>E. 13</w:t>
      </w:r>
    </w:p>
    <w:p>
      <w:r>
        <w:t>décembre 2024, suspendu la procédure pénale au motif que le lieu de séjour de B.________ était inconnu, empêchant toute audition de ce dernier et ainsi la poursuite de ladite procédure. C. Par acte daté du 23 décembre 2024, A.________ a interjeté recours contre l’ordonnance de suspension du Ministère public du 13 décembre 2024. en droit 1. 1.1. Les parties peuvent attaquer une ordonnance de suspension rendue par le ministère public (art. 393 al. 1 let. a et 314 al. 5 CPP qui renvoie aux art. 320 ss CPP) dans les dix jours devant l’autorité de recours (art. 322 al. 2 et 20 al. 1 let. b CPP), qui dans le canton de Fribourg est la Chambre pénale du Tribunal cantonal (ci-après: la Chambre pénale ; art. 85 al. 1 de la loi sur la justice [LJ ; RSF 130.1]). L’art. 388 al. 2 CPP, dans sa teneur dès le 1er janvier 2024, prévoit que la direction de la procédure est compétente pour décider de ne pas entrer en matière sur les recours manifestement irrecevables (let. a), dont la motivation est manifestement insuffisante (let. b) et procéduriers ou abusifs (let. c). En l’espèce, il appert que le recours est insuffisamment motivé et par conséquent manifestement irrecevable (infra consid. 2) de sorte que le Président de la Chambre pénale est compétent pour trancher ce pourvoi. 1.2. Remis à un bureau de poste suisse le 23 décembre 2024, le recours contre l'ordonnance de suspension du 13 décembre 2024, notifié sous pli recommandé, a ainsi été interjeté dans le délai légal. 1.3. Ayant un intérêt juridiquement protégé à l'annulation ou à la modification de l'ordonnance attaquée, le recourant, partie plaignante, a la qualité pour recourir (art. 382 al. 1 CPP). 1.4. Le recours fait l'objet d'une procédure écrite (art. 397 al. 1 CPP). 2. 2.1.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w:t>
      </w:r>
    </w:p>
    <w:p>
      <w:r>
        <w:t>Tribunal cantonal TC Page 3 de 4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2.2. 2.2.1. Dans l'ordonnance attaquée, le Ministère public a suspendu la procédure pénale contre l'intimé pour lésions corporelles simples faute de domicile connu de ce dernier. La Police n'a, dès lors, pas pu auditionner l'intimé. 2.2.2. Dans son pourvoi, le recourant se limite à relever que l'intimé était présent dès le début de sa collaboration au sein du manège et qu'il y aurait travaillé depuis l'été 2023. 2.2.3 En l'espèce, force est de constater que le recourant ne discute nullement les motifs retenus dans l'ordonnance attaquée, ni n'explique en quoi le Ministère public aurait méconnu le droit respectivement, dans quelle mesure sa décision serait erronée. Il ne dit mot sur le motif de suspension retenu, soit l'absence de domicile de l'intimé. De surcroît, le recourant ne prend aucune conclusion et aucune conclusion ne peut être déduite implicitement de sa motivation. Au demeurant, il est relevé que le ch. 6 du dispositif de l’ordonnance querellée indique précisément que le recours doit être motivé. Aussi, il appert que la motivation du recours est manifestement insuffisante. 2.3. Partant, le recours, ne remplissant pas les exigences minimales de motivation, doit être déclaré irrecevable pour ce motif, sans procédure de régularisation. 3. Au vu de l’issue du recours, les frais de la procédure sont mis à la charge du recourant qui succombe (art. 428 al. 1 CPP). Ils sont fixés à CHF 150.- (émolument : CHF 100.- ; débours : CHF 50.-), selon le tarif prévu aux art. 33 ss du Règlement sur la justice (RJ ; RSF 130.11). (dispositif en page suivante)</w:t>
      </w:r>
    </w:p>
    <w:p>
      <w:r>
        <w:t>Tribunal cantonal TC Page 4 de 4 le Président de la Chambre arrête : I. Le recours est irrecevable. II. Les frais de la procédure de recours, arrêtés à CHF 150.- (émolument : CHF 100.-; débours : CHF 50.-), sont mis à la charge de A.________.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janvier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