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409 vom 10. Dezember 2025</w:t>
      </w:r>
    </w:p>
    <w:p>
      <w:r>
        <w:t>FR Kantonsgericht, 2025-12-10, FR</w:t>
      </w:r>
    </w:p>
    <w:p>
      <w:r>
        <w:rPr>
          <w:b/>
        </w:rPr>
        <w:t xml:space="preserve">Quelle: </w:t>
      </w:r>
      <w:r>
        <w:t>https://mcp.opencaselaw.ch/entscheid/fr_gerichte_502_2025_409</w:t>
      </w:r>
    </w:p>
    <w:p>
      <w:r>
        <w:t>FR: FR_GERICHTE 502 2025 409 du 10 décembre 2025</w:t>
      </w:r>
    </w:p>
    <w:p>
      <w:r>
        <w:t>IT: FR_GERICHTE 502 2025 409 del 10 dicembre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du Tribunal cantonal (ci-après : la Chambre pénale) contre des décisions du Tmc dans des cas prévus par le CPP (art. 20 al. 1 let. c, 222 et 393 al. 1 let. c CPP ; art. 64 let. c et 85 al. 1 de la loi fribourgeoise du 31 mai 2010 sur la justice [LJ ; RS 130.1]), par la prévenue détenue qui a la qualité pour recourir (art. 382 al. 1 CPP) et dans les formes prescrites (art. 385 al. 1 CPP), le recours est recevable. Il est relevé que la détention provisoire de la recourante repose actuellement sur l’ordonnance rendue le 12 novembre 2025 par le Tmc qui l’a confirmée jusqu’au 8 décembre 2025, notamment en raison des risques de collusion et de récidive. La recourante, qui voit sa détention provisoire potentiellement encore prolongée au vu de la demande en ce sens déposée par le Ministère public le 4 décembre 2025, conserve donc un intérêt à ce que ses griefs dans la procédure de mise en liberté qu’elle a initiée soient examinés (arrêt TF 7B_346/2025 du 21 mai 2025 consid. 1.2 et les références citées, notamment ATF 149 I 14 consid. 1.2).</w:t>
      </w:r>
    </w:p>
    <w:p>
      <w:r>
        <w:t>Tribunal cantonal TC Page 4 de 8</w:t>
      </w:r>
    </w:p>
    <w:p>
      <w:r>
        <w:rPr>
          <w:b/>
        </w:rPr>
        <w:t>E. 1.2</w:t>
      </w:r>
    </w:p>
    <w:p>
      <w:r>
        <w:t>La Chambre pénale dispose d'une pleine cognition en fait et en droit (art. 393 al. 2 CPP) et statue sans débats (art. 397 al. 1 CPP). Elle peut prendre en considération des faits nouveaux (ATF 141 IV 396 consid. 4.4).</w:t>
      </w:r>
    </w:p>
    <w:p>
      <w:r>
        <w:rPr>
          <w:b/>
        </w:rPr>
        <w:t>E. 2</w:t>
      </w:r>
    </w:p>
    <w:p>
      <w:r>
        <w:t>Dans un premier grief, la recourante conteste l’existence d’un risque de collusion. Elle reproche à l’autorité précédente de ne pas indiquer de danger concret de collusion lié à sa libération. La recourante explique que l’ensemble des protagonistes ont déjà été entendus, et ce à plusieurs reprises. Elle estime qu’aucune démarche ou influence de sa part ne permettrait d’influencer les déclarations des plaignants, puisque ceux-ci ont déjà été entendus et confrontés à ses déclarations.</w:t>
      </w:r>
    </w:p>
    <w:p>
      <w:r>
        <w:rPr>
          <w:b/>
        </w:rPr>
        <w:t>E. 2.1</w:t>
      </w:r>
    </w:p>
    <w:p>
      <w:r>
        <w:t>Selon l'art. 221 al. 1 let. b CPP,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et l'arrêt cité ; arrêt TF 7B_882/2025 du 10 octobre 2025 consid. 2.4.2).</w:t>
      </w:r>
    </w:p>
    <w:p>
      <w:r>
        <w:rPr>
          <w:b/>
        </w:rPr>
        <w:t>E. 2.2</w:t>
      </w:r>
    </w:p>
    <w:p>
      <w:r>
        <w:t>En l’occurrence, force est d’admettre, à l’instar de l’instance précédente, que si la prévenue admet son implication dans les faits qui lui sont reprochés, elle la minimise. Elle conteste les faits principaux, et en particulier les plus graves. Dans le cas d’espèce, les déclarations de la prévenue d’une part, et celles de B.________ et de C.________, d’autre part, contiennent des divergences importantes s’agissant des actes commis par la prévenue et de leur ampleur. Ainsi, une audition de confrontation est en l’espèce nécessaire afin d’établir avec exactitude l’importance des agissements délictueux et les intentions de la prévenue. Il s’agit de s’assurer que la prévenue ne tente pas de prendre contact avec B.________ et C.________ avant l’audition de confrontation, afin d’éviter qu’elle essaie de les influencer ou de faire pression sur eux pour convenir d’une version favorable à ses intérêts. Ce n’est que par ce biais qu’il est possible de préserver la manifestation de la vérité. Il est en effet relevé qu’à ce stade les plaignants n’ont été confrontés aux déclarations de la prévenue que de manière indirecte. Il est par ailleurs souligné que la prévenue a porté plainte contre B.________ en date du 9 août 2025 (DO/MP 20095) et que le dossier contient notamment un message de menaces reçu par B.________, et envoyé depuis le téléphone de la prévenue (DO/MP 20225). Ces éléments laissent penser que la prévenue pourrait chercher à prendre contact avec B.________ si elle venait à être libérée afin d’influencer ses futures déclarations dans un sens qui</w:t>
      </w:r>
    </w:p>
    <w:p>
      <w:r>
        <w:t>Tribunal cantonal TC Page 5 de 8 lui est favorable. Ainsi, et tant que l’audition de confrontation du 7 janvier 2026 n’aura pas eu lieu, le risque de collusion est réel et concret. Le grief de la recourante est donc rejeté.</w:t>
      </w:r>
    </w:p>
    <w:p>
      <w:r>
        <w:rPr>
          <w:b/>
        </w:rPr>
        <w:t>E. 3</w:t>
      </w:r>
    </w:p>
    <w:p>
      <w:r>
        <w:t>La recourante conteste ensuite l’existence d’un risque de récidive. Elle fait valoir qu’elle n’a jamais fait l’objet de dénonciation ou condamnation pour des infractions à l’intégrité physique. Elle explique qu’il doit être tenu compte du fait qu’elle a été victime de violences répétées de la part de ses parents, puis de ses compagnons. Ces violences cumulatives l’ont placée dans un état de vulnérabilité psychologique et l’ont amenée, afin de se protéger, à banaliser les violences subies. La recourante estime que l’événement du train ne peut pas être pris en compte en l’occurrence, dans la mesure où rien ne permet de retenir qu’elle aurait tenté de mettre le feu ou de s’en prendre à B.________. Elle soutient qu’il ressort du dossier que les faits qui lui sont reprochés constituent un acte isolé, intervenu dans un contexte particulier, à savoir une situation de tension avec son ex- compagnon et sous l’emprise de l’alcool. Elle expose enfin que l’absence d’expertise à ce jour ne saurait permettre de retenir un risque de récidive.</w:t>
      </w:r>
    </w:p>
    <w:p>
      <w:r>
        <w:rPr>
          <w:b/>
        </w:rPr>
        <w:t>E. 3.1</w:t>
      </w:r>
    </w:p>
    <w:p>
      <w:r>
        <w:t>Un prévenu ne peut être détenu en raison d’un simple risque de récidive (art. 221 al. 1 let. c CPP) que s’il a déjà été condamné pour au moins deux infractions similaires (ATF 151 IV 185 ; arrêt TF 7B_1035/2024 du 19 novembre 2024, destiné à publication). Cette disposition n’est dès lors pas applicable à la prévenue. La détention provisoire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(art. 221 al. 1bis CPP). Le terme « imminent » précise que le prévenu doit représenter une lourde menace, que des crimes graves risquent de se produire dans un avenir proche et que la détention doit être ordonnée de toute urgence (ATF 150 IV 360 consid. 3.2). Le risque qualifié de récidive n'entre en ligne de compte que si le risque de nouveaux crimes graves apparaît comme inacceptablement élevé ; toutefois, lorsque la gravité des faits et leurs incidences sur la sécurité sont particulièrement élevées, on peut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TF 7B_830/2024 du 4 septembre 2024 consid. 2.2.2).</w:t>
      </w:r>
    </w:p>
    <w:p>
      <w:r>
        <w:rPr>
          <w:b/>
        </w:rPr>
        <w:t>E. 3.2</w:t>
      </w:r>
    </w:p>
    <w:p>
      <w:r>
        <w:t>En l’occurrence, la prévenue est fortement soupçonnée d’avoir gravement porté atteinte à l’intégrité physique de B.________, en utilisant un couteau, voire des ciseaux, et en lui provoquant de nombreuses blessures sur tout le corps. Lors de son audition du 10 août 2025, B.________ a déclaré que la prévenue a déjà eu des excès de colère par le passé et qu’elle a déjà fait usage de violence (cf. notamment DO/MP 20043 l. 91 ss). Il semblerait que la prévenue ait aussi agressé C.________, en l’étranglant et en lui donnant un coup de ciseau avec le côté non pointu au niveau de son visage. La Chambre pénale relève également qu’en date du 7 août 2025, des messages contenant des menaces ont été adressés à B.________ depuis le téléphone de la prévenue. A l’instar du Ministère public et du Tmc, il est constaté que la prévenue ne semble pas être consciente de la gravité des faits qui lui sont reprochés et semble « normaliser » le fait de se battre. La Chambre pénale partage l’avis de l’autorité intimée ainsi que du Ministère public s’agissant de la gravité des faits reprochés à la prévenue et qu’il est à craindre, qu’en cas de libération, elle puisse s’en prendre à nouveau à B.________. En particulier, si la prévenue venait à être libérée, il n’est pas exclu qu’elle essaie de revoir B.________ pour s’expliquer, et qu’une nouvelle dispute éclate entre eux.</w:t>
      </w:r>
    </w:p>
    <w:p>
      <w:r>
        <w:t>Tribunal cantonal TC Page 6 de 8 Il est toutefois relevé que le comportement singulier de la prévenue ainsi que la gravité de ses actes ont conduit le Ministère public à demander la mise en œuvre d’une expertise psychiatrique. Ainsi, et dans la mesure où la question du risque de récidive a été soumise à un expert, il appartient au Ministère public de demander au psychiatre de rendre sans délai (art. 5 al. 2 CPP) son évaluation professionnelle du risque. En effet, il ressort du dossier que l’expert a déjà pu rencontrer la prévenue à trois reprises. Ainsi, et dans le cas où l’expert n’arriverait pas à rendre son rapport complet d’ici à la fin de l’année 2025, il appartient au Ministère public de faire en sorte que le professionnel donne son évaluation par rapport au risque de récidive d’ici au 7 janvier 2026, date de l’audience de confrontation. En effet, une fois que cette audition aura eu lieu, le risque de collusion ne pourra certainement plus être retenu. Ainsi, et dans la mesure où la détention reposerait uniquement sur le risque de récidive, l’évaluation d’un expert sur cette question s’avère, au vu du dossier, un élément central pour décider ou non du maintien en détention de la prévenue.</w:t>
      </w:r>
    </w:p>
    <w:p>
      <w:r>
        <w:rPr>
          <w:b/>
        </w:rPr>
        <w:t>E. 4</w:t>
      </w:r>
    </w:p>
    <w:p>
      <w:r>
        <w:t>En dernier lieu, la recourante se plaint d’une violation du principe de la proportionnalité, estimant que des mesures de substitution sont en l’occurrence aptes à pallier les risques retenus. La prévenue propose une interdiction de prendre contact avec certaines personnes, combinée à une obligation de soins, ou, le cas échéant, un placement dans une institution ouverte. Elle estime que ces mesures permettent d’assurer la sécurité des personnes concernées et de garantir le bon déroulement de la procédure, tout en respectant le principe de la proportionnalité. Elle indique enfin que dans l’examen de la proportionnalité, il faut également prendre en compte les conséquences de la détention préventive sur sa situation.</w:t>
      </w:r>
    </w:p>
    <w:p>
      <w:r>
        <w:rPr>
          <w:b/>
        </w:rPr>
        <w:t>E. 4.1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ou celle de se soumettre à un traitement médical ou à des contrôles (let. f). Cette liste est exemplative et le juge de la détention peut également, le cas échéant, assortir les mesures de substitution de toute condition propre à en garantir l'efficacité (ATF 145 IV 503 consid. 3.1 ; arrêt TF 7B_1219/2024 du</w:t>
      </w:r>
    </w:p>
    <w:p>
      <w:r>
        <w:rPr>
          <w:b/>
        </w:rPr>
        <w:t>E. 4.2</w:t>
      </w:r>
    </w:p>
    <w:p>
      <w:r>
        <w:t>En l’espèce, aucune des mesures proposées par la recourante ni aucune autre ne sont aptes à pallier le risque de collusion retenu. En effet, au vu de la gravité des faits qui sont reprochés à la recourante, rien ne permet de s’assurer qu’une interdiction de contact suffise à la dissuader de s’approcher du plaignant et de C.________ afin de tenter d’influencer les faits en sa faveur. Ainsi, et pour ce motif déjà, il est constaté que les mesures de substitution ne sont pas aptes à atteindre le but visé en l’occurrence. S’agissant de l’impact de la détention sur sa situation personnelle, le Tmc a déjà répondu de manière détaillée aux griefs de la recourante, et force est de constater que cette dernière ne critique pas l’argumentation de l’instance précédente, mais se contente, sur ce point, de soulever à nouveau les mêmes griefs en instance de recours. Quoiqu’il en soit, il va de soi que les répercussions de la détention sur la vie privée et professionnelle doivent céder le pas devant les besoins de l’instruction. A toutes fins utiles, il est constaté, qu’au vu de la gravité des faits qui sont reprochés à la prévenue, la détention reste proportionnée au vu de la peine à laquelle elle s’expose.</w:t>
      </w:r>
    </w:p>
    <w:p>
      <w:r>
        <w:t>Tribunal cantonal TC Page 7 de 8</w:t>
      </w:r>
    </w:p>
    <w:p>
      <w:r>
        <w:rPr>
          <w:b/>
        </w:rPr>
        <w:t>E. 4.3</w:t>
      </w:r>
    </w:p>
    <w:p>
      <w:r>
        <w:t>Au vu de ce qui précède, le recours est rejeté.</w:t>
      </w:r>
    </w:p>
    <w:p>
      <w:r>
        <w:rPr>
          <w:b/>
        </w:rPr>
        <w:t>E. 5</w:t>
      </w:r>
    </w:p>
    <w:p>
      <w:r>
        <w:t>décembre 2024 consid. 5.2.).</w:t>
      </w:r>
    </w:p>
    <w:p>
      <w:r>
        <w:rPr>
          <w:b/>
        </w:rPr>
        <w:t>E. 5.1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5.2</w:t>
      </w:r>
    </w:p>
    <w:p>
      <w:r>
        <w:t>Par-devant le Ministère public, la prévenue est au bénéfice d’une défense d’office obligatoire au sens de l’art. 132 CPP (DO/MP 7003). Cet élément n’a pas d’influence devant la Chambre pénale. En effet, conformément à la nouvelle pratique, c’est à juste titre que la prévenue a déposé une nouvelle requête d’assistance judiciaire pour la procédure de recours. Elle soutient qu’elle ne dispose pas des moyens nécessaires pour faire valoir ses intérêts de manière adéquate et qu’elle se trouve dans un cas de défense obligatoire au sens de l’art. 130 CPP dès lors que la détention a déjà excédé dix jours. Elle précise qu’elle ne dispose pas des ressources financières suffisantes, qu’elle bénéficie du soutien du service social et qu’elle ne dispose pas d’économies lui permettant de supporter les frais nécessaires à sa défense. Elle fait enfin valoir que son recours n’est manifestement pas voué à l’échec. La Chambre pénale constate que les conditions pour l’octroi d’une défense d’office sont en effet remplies. Bien qu’elle ne produise aucune pièce à l’appui de sa requête d’assistance judiciaire, la prévenue peut être considérée comme étant indigente, dans la mesure où elle est détenue depuis presque 5 mois et qu’elle est soutenue par le service social. Par ailleurs, son recours n’était pas d’emblée dépourvu de toute chance de succès. Il est donc fait droit à sa requête, Me Aurélie Gandoy lui étant désignée comme défenseure d’office pour la procédure de recours.</w:t>
      </w:r>
    </w:p>
    <w:p>
      <w:r>
        <w:rPr>
          <w:b/>
        </w:rPr>
        <w:t>E. 5.3</w:t>
      </w:r>
    </w:p>
    <w:p>
      <w:r>
        <w:t>La Chambre pénale arrête elle-même l’indemnité du défenseur d’office pour la procédure de recours selon l’art. 57 al. 1 et 2 du règlement fribourgeois du 30 novembre 2011 sur la justice (RJ ; RSF 130.11). En l’espèce, pour la rédaction du recours, l’examen des déterminations et du présent arrêt, y compris son explication à la cliente, le temps total y relatif peut être estimé à environ 7 heures de travail, au tarif-horaire de CHF 180.-. L’indemnité sera dès lors fixée à CHF 1'260.-, débours compris mais TVA (8.1 %) par CHF 102.05 en sus (cf. art. 56 ss RJ).</w:t>
      </w:r>
    </w:p>
    <w:p>
      <w:r>
        <w:rPr>
          <w:b/>
        </w:rPr>
        <w:t>E. 5.4</w:t>
      </w:r>
    </w:p>
    <w:p>
      <w:r>
        <w:t>Au vu de l’issue du recours, les frais de la procédure de recours, arrêtés à CHF 1'962.05 (émolument : CHF 500.- ; débours : CHF 100.- ; frais de défense d’office : CHF 1'362.05), sont mis à la charge de la prévenue (art. 428 al. 1 CPP). Le remboursement à l'Etat de l'indemnité allouée à la mandataire d’office ne sera exigible que lorsque la situation économique de la prévenue le permettra.</w:t>
      </w:r>
    </w:p>
    <w:p>
      <w:r>
        <w:t>Tribunal cantonal TC Page 8 de 8 la Chambre arrête : I. Le recours est rejeté. Partant, l’ordonnance du Tribunal des mesures de contrainte du 12 novembre 2025 est confirmée. II. Me Aurélie Gandoy est désignée défenseure d’office de A.________ pour la procédure de recours. L’indemnité due pour la procédure de recours à Me Aurélie Gandoy en sa qualité de défenseure d’office est fixée à CHF 1'260.-, TVA par CHF 102.05 en sus. III. Les frais de la procédure de recours par CHF 1'962.05 (émolument : CHF 500.- ; débours : CHF 100.- ; frais de défense d’office : CHF 1'362.05)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décembre 2025/dvc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