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297 vom 15. Dezember 2025</w:t>
      </w:r>
    </w:p>
    <w:p>
      <w:r>
        <w:t>FR Kantonsgericht, 2025-12-15, FR</w:t>
      </w:r>
    </w:p>
    <w:p>
      <w:r>
        <w:rPr>
          <w:b/>
        </w:rPr>
        <w:t xml:space="preserve">Quelle: </w:t>
      </w:r>
      <w:r>
        <w:t>https://mcp.opencaselaw.ch/entscheid/fr_gerichte_502_2025_297</w:t>
      </w:r>
    </w:p>
    <w:p>
      <w:r>
        <w:t>FR: FR_GERICHTE 502 2025 297 du 15 décembre 2025</w:t>
      </w:r>
    </w:p>
    <w:p>
      <w:r>
        <w:t>IT: FR_GERICHTE 502 2025 297 del 15 dicembre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Remis à un bureau de poste suisse le 7 août 2025, le recours contre l’ordonnance de non-entrée en matière du 5 août 2025 a été interjeté dans le délai légal. Motivé et doté de conclusions, le recours est formellement recevable (art. 385 et 396 CPP).</w:t>
      </w:r>
    </w:p>
    <w:p>
      <w:r>
        <w:rPr>
          <w:b/>
        </w:rPr>
        <w:t>E. 1.3</w:t>
      </w:r>
    </w:p>
    <w:p>
      <w:r>
        <w:t>La Chambre jouit d'une pleine cognition, en fait, en droit et en opportunité (393 al. 2 CPP). Elle statue sans débats (397 al. 1 CPP).</w:t>
      </w:r>
    </w:p>
    <w:p>
      <w:r>
        <w:rPr>
          <w:b/>
        </w:rPr>
        <w:t>E. 1.4</w:t>
      </w:r>
    </w:p>
    <w:p>
      <w:r>
        <w:t>Le recours fait l’objet d’une procédure écrite (art. 397 al. 1 CPP).</w:t>
      </w:r>
    </w:p>
    <w:p>
      <w:r>
        <w:rPr>
          <w:b/>
        </w:rPr>
        <w:t>E. 1.5.1</w:t>
      </w:r>
    </w:p>
    <w:p>
      <w:r>
        <w:t>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w:t>
      </w:r>
    </w:p>
    <w:p>
      <w:r>
        <w:t>Tribunal cantonal TC Page 3 de 7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La notion de partie visée à l'art. 382 CPP doit être comprise au sens des art. 104 et 105 CPP (ATF 146 IV 76 consid. 2.2.2 ; 139 IV 78 consid. 3.1). La partie plaignante notamment a qualité de partie (art. 104 al. 1 let. b CPP).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145 IV 491 consid. 2.3 ; 143 IV 77 consid. 2.2 ; 141 IV 454 consid. 2.3.1 ; 141 IV 1 consid. 3.1).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147 IV 269 consid. 3.1). Tel est le cas du simple dénonciateur au sens de l'art. 301 al. 1 CPP, qui n'a pas de droit de procédure hormis celui d'être informé, à sa demande, de la suite qui a été donnée à sa dénonciation (art. 301 al. 2 et 3 CPP).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w:t>
      </w:r>
    </w:p>
    <w:p>
      <w:r>
        <w:rPr>
          <w:b/>
        </w:rPr>
        <w:t>E. 1.5.2</w:t>
      </w:r>
    </w:p>
    <w:p>
      <w:r>
        <w:t>En l’occurrence, le fait de stationner des véhicules en limite de propriété ne touche aucun bien juridique protégé par le droit pénal. En outre, la LCR ne protège que de manière indirecte les usagers de la route et non la propriété privée des particuliers, de sorte que les griefs relèvent au mieux du droit civil ou administratif. La LATeC contient certes des dispositions pénales susceptibles, dans certains cas, de conférer la qualité de partie. Toutefois, cela ne vaut pas ici. Les recourants ne subissent aucun préjudice direct en raison des constructions prétendument non conformes. Les violations invoquées concernent avant tout la mise en œuvre des objectifs d’aménagement du territoire de l’art. 75 Cst., et non la protection d’un droit individuel qui leur appartiendrait. Quant aux autres nuisances évoquées, elles relèvent du droit civil, notamment des droits de voisinage (art. 684 CC) et non du droit pénal, de sorte qu’elles ne sauraient fonder la qualité de lésé. Les recourants n’étant pas lésés, ils n’ont ni qualité de partie ni qualité pour recourir, et leur recours doit être déclaré irrecevable.</w:t>
      </w:r>
    </w:p>
    <w:p>
      <w:r>
        <w:rPr>
          <w:b/>
        </w:rPr>
        <w:t>E. 2</w:t>
      </w:r>
    </w:p>
    <w:p>
      <w:r>
        <w:t>Cela étant, quand bien même il serait recevable, le recours devrait être rejeté.</w:t>
      </w:r>
    </w:p>
    <w:p>
      <w:r>
        <w:rPr>
          <w:b/>
        </w:rPr>
        <w:t>E. 2.1</w:t>
      </w:r>
    </w:p>
    <w:p>
      <w:r>
        <w:t>Conformément à l'art. 310 al. 1 let. a CPP, le ministère public rend immédiatement – c'est-à- dire sans qu'une instruction soit ouverte – une ordonnance de non-entrée en matière lorsqu'il apparaît, à réception de la dénonciation (art. 301 ss CPP) ou de la plainte (CR CPP- GRODECKI / CORNU, 2e éd. 2019, art. 310 n. 1 s.) ou après une procédure préliminaire limitée aux investigations de la police (art. 300 al. 1 et 306 ss CPP), que les éléments constitutifs d'une infraction ou les conditions à l'ouverture de l'action pénale ne sont manifestement pas réunis (arrêt TF 6B_196/2020</w:t>
      </w:r>
    </w:p>
    <w:p>
      <w:r>
        <w:t>Tribunal cantonal TC Page 4 de 7 du 14 octobre 2020 consid. 3.1 et les références citées). Selon cette disposition, il importe donc que les éléments constitutifs de l'infraction ne soient manifestement pas réunis. L’art. 310 al. 1 let. a CPP doit être appliqué conformément à l’adage in dubio pro duriore;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w:t>
      </w:r>
    </w:p>
    <w:p>
      <w:r>
        <w:rPr>
          <w:b/>
        </w:rPr>
        <w:t>E. 2.2</w:t>
      </w:r>
    </w:p>
    <w:p>
      <w:r>
        <w:t>Dans l'ordonnance attaquée, le Ministère public a constaté qu'aucune infraction pénale ne pouvait être retenue, le litige divisant les parties étant d'ordre civil (en lien avec les rapports de voisinage), voire administratif (en lien avec la procédure d'obtention d'un permis de construire). Il a invité les plaignants à s'adresser aux autorités compétentes.</w:t>
      </w:r>
    </w:p>
    <w:p>
      <w:r>
        <w:rPr>
          <w:b/>
        </w:rPr>
        <w:t>E. 2.3</w:t>
      </w:r>
    </w:p>
    <w:p>
      <w:r>
        <w:t>Dans un premier temps, les recourants reprochent au Ministère public une violation grave de leur droit d’être entendus, en ce qu’il a omis d’examiner l’absence de permis pour le raccordement d’eau et l’absence d’autorisation communale pour le stationnement en limite de leur propriété.</w:t>
      </w:r>
    </w:p>
    <w:p>
      <w:r>
        <w:rPr>
          <w:b/>
        </w:rPr>
        <w:t>E. 2.3.1</w:t>
      </w:r>
    </w:p>
    <w:p>
      <w:r>
        <w:t>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 1.2.1; 135 II 145 consid. 8.2 et les réf.). La motivation peut être implicite et résulter des différents considérants de la décision (cf.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w:t>
      </w:r>
    </w:p>
    <w:p>
      <w:r>
        <w:t>Tribunal cantonal TC Page 5 de 7 incompatible avec l'intérêt de la partie concernée à ce que sa cause soit tranchée dans un délai raisonnable (ATF 146 III 97 consid. 3.5.2 ; 142 II 218 consid. 2.8.1 ; 124 I 49 consid. 1 ; arrêt TF 2C_94/2022 du 23 juin 2023 consid. 3.2).</w:t>
      </w:r>
    </w:p>
    <w:p>
      <w:r>
        <w:rPr>
          <w:b/>
        </w:rPr>
        <w:t>E. 2.3.2</w:t>
      </w:r>
    </w:p>
    <w:p>
      <w:r>
        <w:t>En l’espèce, les recourants ont eu la possibilité de présenter leurs griefs et de produire leurs preuves. Le Ministère public a examiné le dossier et motivé son ordonnance de non-entrée en matière, constatant que le litige relevait de questions d’ordre civil et administratif et qu’aucune infraction pénale ne pouvait être retenue, tout en invitant les plaignants à saisir les autorités compétentes pour faire valoir leurs droits. L’ordonnance a ainsi exposé de manière claire les faits établis et les conclusions tirées de ceux-ci, permettant aux recourants de comprendre la décision et les voies appropriées pour agir. Dans ces circonstances, l'argument selon lequel le Ministère public n’aurait pas suffisamment examiné le dossier ne constitue pas une violation du droit d’être entendu. Partant, ce grief doit être rejeté.</w:t>
      </w:r>
    </w:p>
    <w:p>
      <w:r>
        <w:rPr>
          <w:b/>
        </w:rPr>
        <w:t>E. 2.4</w:t>
      </w:r>
    </w:p>
    <w:p>
      <w:r>
        <w:t>Dans un deuxième grief, les recourants reprochent au Ministère public une mauvaise application du droit fédéral, estimant que les travaux réalisés sur leur terrain contre leur gré relèveraient d’un dommage à la propriété (art. 144 CP), d'une « atteinte à la propriété » (violation de domicile, art. 186 CP) et d'une violation de l'art. 173 LATeC.</w:t>
      </w:r>
    </w:p>
    <w:p>
      <w:r>
        <w:rPr>
          <w:b/>
        </w:rPr>
        <w:t>E. 2.4.1</w:t>
      </w:r>
    </w:p>
    <w:p>
      <w:r>
        <w:t>D'après l'art. 144 al. 1 CP, commet un dommage à la propriété quiconque, sans droit, endommage, détruit ou met hors d’usage une chose appartenant à autrui ou frappée d’un droit d’usage ou d’usufruit au bénéfice d’autrui. Il s'agit d'une infraction intentionnelle, ce qui signifie que l'auteur doit avoir eu la conscience et la volonté, au moins sous la forme du dol éventuel, de s'en prendre à une chose appartenant à autrui ou à l’usage d’autrui, et d’en changer l’état (ATF 116 IV 143 consid. 2b ; PC CP, 3e éd. 2025, art. 144, n. 16 et les références citées; CORBOZ, Les infractions en droit suisse, vol. I, 3e éd. 2010, art. 144 n. 23). Le dol éventuel (art. 12 al. 2 CP)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du résultat (PC CP, art. 12 n. 15). Quant à la violation de domicile, elle se manifeste par le comportement de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 Selon la jurisprudence, la notion de domicile doit être comprise de manière large et elle vise non seulement les habitations au sens commun, mais également les fabriques, les centres commerciaux et les bâtiments administratifs (ATF 108 IV 33 consid. 5a p. 39).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(DELNON/RÜDY, in Basler Kommentar Strafrecht II, 4e éd. 2019, n. 16 ad art. 186 CP). L'infraction est consommée dès que l'auteur s'introduit dans le domaine clos sans l'autorisation de celui qui a le pouvoir d'en disposer (ATF 128 IV 81 consid. 4a p. 85 ; ATF 108 IV 33 consid. 5b p. 39). L'auteur doit encore agir de manière illicite. L'illicéité de l'acte implique que l'auteur s'oppose à la volonté de l'ayant droit. Elle fait</w:t>
      </w:r>
    </w:p>
    <w:p>
      <w:r>
        <w:t>Tribunal cantonal TC Page 6 de 7 défaut lorsque ce dernier donne son accord ou si l'auteur est au bénéfice d'un motif justificatif (ATF 83 IV 154 consid. 1 p. 157).</w:t>
      </w:r>
    </w:p>
    <w:p>
      <w:r>
        <w:rPr>
          <w:b/>
        </w:rPr>
        <w:t>E. 2.4.2</w:t>
      </w:r>
    </w:p>
    <w:p>
      <w:r>
        <w:t>Il convient d’emblée de rappeler que les infractions prévues aux art. 144 et 186 CP ne se poursuivent que sur plainte, laquelle doit être déposée dans un délai de trois mois dès que l’ayant droit a eu connaissance de l’auteur (art. 31 CP). En l’espèce, ce délai ne paraît pas avoir été respecté. En tout état de cause, les travaux réalisés en 2019 sur le terrain des recourants, notamment la réparation du raccordement à l’eau potable existant depuis 1981, n’avaient ni pour objectif d’endommager ou de détruire une chose appartenant à autrui, ni d’atteindre intentionnellement un droit d’usage ou d’usufruit, ni d’envahir un domicile ou un espace clos contre la volonté de l’ayant droit. Il s’agit d’actes relevant de l’usage civil ou administratif du bien, dans le cadre de son entretien. Si les recourants entendent faire constater une éventuelle atteinte à leurs droits, ils doivent le faire par les voies civiles ou administratives compétentes. S’agissant de l’art. 173 LATeC, il n’est pas établi si les travaux sur la propriété des recourants ont été réalisés avec ou sans autorisation. En tout état de cause, même en admettant une irrégularité, l’action pénale se prescrit par cinq ans à compter du moment où l’infraction aurait été commise.</w:t>
      </w:r>
    </w:p>
    <w:p>
      <w:r>
        <w:rPr>
          <w:b/>
        </w:rPr>
        <w:t>E. 2.5</w:t>
      </w:r>
    </w:p>
    <w:p>
      <w:r>
        <w:t>Dans un troisième temps, les recourants reprochent au Ministère public de n’avoir procédé à aucune vérification, notamment auprès de FRIAC, concernant l’existence d’un permis pour les travaux de 2019 ou d’autorisations pour les places de stationnement. La Chambre relève que le Ministère public n’a pas pour mission de vérifier la régularité des permis de construire. La question de savoir si un permis a été délivré, si des travaux sont conformes aux réglementations ou si un droit de servitude existe sur la parcelle relève en principe du droit administratif, et le cas échéant du droit civil pour les litiges entre voisins. Il est certes concevable que des travaux exécutés illégalement sur la parcelle d’un tiers puissent, dans certaines circonstances, revêtir une dimension pénale. En l’espèce toutefois, il n’existe aucun indice d’une infraction. En effet, les art. 144 et 186 CP invoqués par les recourants ne sauraient entrer en ligne de compte (cf. supra consid. 2.3 ss), d’autant que le délai de plainte de trois mois est de toute manière échue. Il s'ensuit le rejet de ce grief.</w:t>
      </w:r>
    </w:p>
    <w:p>
      <w:r>
        <w:rPr>
          <w:b/>
        </w:rPr>
        <w:t>E. 2.6</w:t>
      </w:r>
    </w:p>
    <w:p>
      <w:r>
        <w:t>Dans un quatrième et dernier temps, les recourants considèrent que les stationnements répétés à proximité de leur maison et les travaux effectués sur leur terrain sans autorisation constituent une atteinte grave à leur droit de propriété (art. 26 Cst.). A ce propos, la Chambre relève également qu’il s’agit d’un conflit relatif à l’usage du terrain et aux droits de voisinage, dont la protection relève des voies civiles ou administratives. Dès lors, il se justifie de rejeter ce grief.</w:t>
      </w:r>
    </w:p>
    <w:p>
      <w:r>
        <w:rPr>
          <w:b/>
        </w:rPr>
        <w:t>E. 2.7</w:t>
      </w:r>
    </w:p>
    <w:p>
      <w:r>
        <w:t>Au vu de ce qui précède, c’est à bon droit que le Ministère public a rendu l’ordonnance de non-entrée en matière attaquée, de sorte que le recours doit être rejeté et l’ordonnance confirmée.</w:t>
      </w:r>
    </w:p>
    <w:p>
      <w:r>
        <w:rPr>
          <w:b/>
        </w:rPr>
        <w:t>E. 3.1</w:t>
      </w:r>
    </w:p>
    <w:p>
      <w:r>
        <w:t>Au vu de l’issue du recours, les frais de la procédure, arrêtés à CHF 500.- (émoluments : CHF 400.-; débours : CHF 100.-), sont mis solidairement à la charge de A.________ et B.________ qui succombent (art. 428 al. 1 CPP, art. 33 ss. et 43 du règlement sur la justice [RJ; RSF 130.11]). Ils seront prélevés sur les sûretés prestées.</w:t>
      </w:r>
    </w:p>
    <w:p>
      <w:r>
        <w:t>Tribunal cantonal TC Page 7 de 7</w:t>
      </w:r>
    </w:p>
    <w:p>
      <w:r>
        <w:rPr>
          <w:b/>
        </w:rPr>
        <w:t>E. 3.2</w:t>
      </w:r>
    </w:p>
    <w:p>
      <w:r>
        <w:t>Aucune indemnité n’est allouée aux recourants non assistés qui succombent, ni à l’intimée qui n’a pas été appelée à se déterminer. la Chambre arrête : I. Le recours est irrecevable. II. Les frais de la procédure de recours, fixés à CHF 500.- (émoluments : CHF 400.-; débours : CHF 100.-), sont mis solidairement à la charge de A.________ et B.________. Ils seront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décembre 2025/mro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