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192 vom 11. September 2025</w:t>
      </w:r>
    </w:p>
    <w:p>
      <w:r>
        <w:t>FR Kantonsgericht, 2025-09-11, DE</w:t>
      </w:r>
    </w:p>
    <w:p>
      <w:r>
        <w:rPr>
          <w:b/>
        </w:rPr>
        <w:t xml:space="preserve">Quelle: </w:t>
      </w:r>
      <w:r>
        <w:t>https://mcp.opencaselaw.ch/entscheid/fr_gerichte_502_2025_192</w:t>
      </w:r>
    </w:p>
    <w:p>
      <w:r>
        <w:t>FR: FR_GERICHTE 502 2025 192 du 11 septembre 2025</w:t>
      </w:r>
    </w:p>
    <w:p>
      <w:r>
        <w:t>IT: FR_GERICHTE 502 2025 192 del 11 settembre 2025</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85 Abs. 1 des Justizge- setzes vom 31. Mai 2010 [JG; SGF 130.1]). Die am 7. Juli 2025 der Post übergebene Beschwerdeschrift gegen die Nichtanhandnahmeverfügung vom 26. Juni 2025 ist rechtzeitig eingereicht worden.</w:t>
      </w:r>
    </w:p>
    <w:p>
      <w:r>
        <w:rPr>
          <w:b/>
        </w:rPr>
        <w:t>E. 1.2</w:t>
      </w:r>
    </w:p>
    <w:p>
      <w:r>
        <w:t>Ein Rechtsmittel nach der StPO kann jede Partei ergreifen, die ein rechtlich geschütztes Inte- resse an der Aufhebung oder Änderung eines Entscheids hat (Art. 382 Abs. 1 StPO). Die Privatklä- gerschaft (Straf- oder Zivilklägerin) nimmt am Strafverfahren als Partei teil (Art. 104 Abs. 1 Bst. b StPO) und ist damit ohne weiteres zur Erhebung einer Beschwerde gegen die Nichtanhandnahme eines Verfahrens legitimiert (BSK StPO-VOGELSANG, 3. Aufl. 2023, Art. 310 N. 26b).</w:t>
      </w:r>
    </w:p>
    <w:p>
      <w:r>
        <w:rPr>
          <w:b/>
        </w:rPr>
        <w:t>E. 1.3</w:t>
      </w:r>
    </w:p>
    <w:p>
      <w:r>
        <w:t>Mit der Beschwerde können Rechtsverletzungen, die unvollständige oder unrichtige Sach- verhaltsfeststellung und die Unangemessenheit gerügt werden (Art. 393 Abs. 2 StPO).</w:t>
      </w:r>
    </w:p>
    <w:p>
      <w:r>
        <w:rPr>
          <w:b/>
        </w:rPr>
        <w:t>E. 1.4</w:t>
      </w:r>
    </w:p>
    <w:p>
      <w:r>
        <w:t>Die Strafkammer entscheidet ohne Verhandlung (Art. 397 Abs. 1 StPO). Sie verfügt dabei grundsätzlich über volle Kognition (Art. 391 Abs. 1, 393 Abs. 2 StPO).</w:t>
      </w:r>
    </w:p>
    <w:p>
      <w:r>
        <w:rPr>
          <w:b/>
        </w:rPr>
        <w:t>E. 2.1</w:t>
      </w:r>
    </w:p>
    <w:p>
      <w:r>
        <w:t>Der Beschwerdeführer rügt, die Staatsanwaltschaft habe die von ihm glaubhaft dargelegten Sachverhalte nicht näher untersucht, obwohl sie aufgrund seiner Vorbringen zu einer Strafuntersuchung verpflichtet gewesen wäre, womit sie Art. 393 Abs. 2 lit. a und b StPO verletzt habe. Die Konstellation – bestehend aus Inhaftierung, familiärer Abhängigkeit, gezielter Täuschung und Nichterfüllung eines wesentlichen Vertragsbestandteils – verlange zwingend nach einer vertieften strafrechtlichen Prüfung der Tatbestände gemäss Art. 146, 157 und 181 StGB.</w:t>
      </w:r>
    </w:p>
    <w:p>
      <w:r>
        <w:rPr>
          <w:b/>
        </w:rPr>
        <w:t>E. 2.2</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w:t>
      </w:r>
    </w:p>
    <w:p>
      <w:r>
        <w:t>Kantonsgericht KG Seite 4 von 7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(Art. 5 Abs. 1 BV und Art. 2 Abs. 1 StPO i.V.m. Art. 310 Abs. 2, 319 Abs. 1 sowie Art. 324 Abs. 1 StPO). Eine Nichtanhandnahme darf nur in sachverhaltsmässig und rechtlich klaren Fällen ergehen. Es muss sicher feststehen, dass der Sachverhalt unter keinen Straftatbestand fällt. Der Grundsatz «in dubio pro duriore» ist unter Würdigung der im Einzelfall gegebenen Umstände handzuhaben. Die Staatsanwaltschaft und die Beschwerdeinstanz verfügen insoweit über einen gewissen Spiel- raum. Im Zweifelsfall, wenn die Gründe der Nichtanhandnahme nicht mit absoluter Sicherheit gege- ben sind, muss das Verfahren eröffnet werden (u.a. BGE 138 IV 86 E. 4.1, 4.2; 137 IV 285 E. 2.3).</w:t>
      </w:r>
    </w:p>
    <w:p>
      <w:r>
        <w:rPr>
          <w:b/>
        </w:rPr>
        <w:t>E. 3.1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135 IV 76 E. 5.2 mit Hinweisen). Der Strafanzeige ist zu entnehmen, dass dem Beschwerdeführer die Vollmacht zu Gunsten seiner Schwester von einem in der Anzeige namentlich genannten Notar zur Unterschrift vorgelegt wurde. Aus der besagten Vollmacht geht hervor, dass D.________ im Namen und Auftrag des Beschwerdeführers die Befugnis erhält, einen Kaufvertrag abzuschliessen, gemäss welchem der Beschwerdeführer seine Grundstücke Nrn. fff und ggg GB E.________ H.________ für einen Preis von total CHF 400'000.- an seine Nichte, C.________, verkauft. Das Wohnrecht für die Dauer von 20 Jahren zu einem kapitalisierten Wert von CHF 90'000.- ist ebenfalls in der Vollmacht erwähnt. Mit Blick auf die Ausführlichkeit des Textes der Vollmacht, welche dem Beschwerdeführer von einem Notar zur Unterschrift vorgelegt wurde, ist eine arglistige Täuschung nicht ersichtlich. Der Beschwerdeführer hat offenbar davon abgesehen, dem Notar Ergänzungsfragen zu stellen. Darüber hinaus geht aus den Akten hervor, dass B.________ dem Beschwerdeführer den Entwurf des Kaufvertrags zusammen mit einem Begleitschreiben schickte. Darin ist zu lesen, dass der Kaufpreis von CHF 400'000.- für den Beschwerdeführer vorteilhaft sei, weil er dadurch keine hohe Grundstücksgewinnsteuer bezahlen müsse. Diese Aktenstücke machen deutlich, dass die Parteien den Kaufpreis aufgrund verschiedener Kriterien im Dialog untereinander festlegten.</w:t>
      </w:r>
    </w:p>
    <w:p>
      <w:r>
        <w:rPr>
          <w:b/>
        </w:rPr>
        <w:t>E. 3.2</w:t>
      </w:r>
    </w:p>
    <w:p>
      <w:r>
        <w:t>Gemäss Art. 157 Ziff. 1 Abs. 1 StGB wird wegen Wuchers bestraft, wer die Zwangslage, die Abhängigkeit, die Unerfahrenheit oder die Schwäche im Urteilsvermögen einer Person dadurch aus- beutet, dass er sich oder einem anderen für eine Leistung Vermögensvorteile gewähren oder ver- sprechen lässt, die zur Leistung wirtschaftlich in einem offenbaren Missverhältnis stehen. Art. 157 StGB verlangt in subjektiver Hinsicht Vorsatz, wobei Eventualvorsatz genügt. Der Beschwerdeführer macht geltend, er habe die Vollmacht während der Haft unterschrieben. Sein Status als Häftling habe seine Fähigkeit zur selbständigen und kritischen Entscheidungsfindung</w:t>
      </w:r>
    </w:p>
    <w:p>
      <w:r>
        <w:t>Kantonsgericht KG Seite 5 von 7 erheblich beeinträchtigt. Er habe ohne rechtlichen Beistand die Vollmacht unterzeichnet und sei unter familiärem Druck gestanden. Entsprechend habe er sich in einer Notlage bzw. Zwangslage befunden. Eine Zwangslage ist zu bejahen, wenn der Betroffene nach seinen Verhältnissen auf die jeweilige Leistung, die er auf Grund der konkreten Umstände anderweitig überhaupt nicht oder nicht günstiger erlangen kann, ernsthaft angewiesen ist oder angewiesen zu sein glaubt. Die Zwangslage muss nur in der Vorstellung des Betroffenen bestehen, nicht aber objektiv gegeben sein (BSK StGB- WEISSENBERGER, 4. Aufl. 2019, Art. 157 N. 9). Der Beschwerdeführer unterzeichnete die klar formulierte Vollmacht in Anwesenheit eines Notars, dem er bei Bedarf Fragen hätte stellen können. Darüber hinaus ist nicht ersichtlich, weswegen die Unterzeichnung des Kaufvertrags nicht auch nach der Hauptverhandlung des Beschwerdeführers hätte stattfinden können bzw. welche Umstände einen Vertragsabschluss – angeblich – im Eiltempo erfordert haben. Dass aus dem Status als Häftling generell eine erhebliche Beeinträchtigung der Fähigkeit zu kritischem Denken resultiert, ist eine unbelegte Behauptung. Relevant ist einzig der Zustand des Beschwerdeführers im Zeitpunkt der Vertragsverhandlungen. Der Notar, der ihn im Gefängnis aufgesucht hat, um ihm die Vollmacht zur Unterzeichnung vorzulegen, hat offenbar keine Beeinträchtigung festgestellt. Das Begleitschreiben von B.________ zum Kaufvertragsentwurf schildert detailliert alle Überlegungen der Parteien rund um die Festlegung des Kaufpreises und des Wohnrechts. Unter den geschildeten Umständen ist festzustellen, dass sich der Beschwerdeführer bei den Vertragsverhandlungen nicht in einer wesentlichen Schwächesituation oder gar in einer Zwangslage befunden hat.</w:t>
      </w:r>
    </w:p>
    <w:p>
      <w:r>
        <w:rPr>
          <w:b/>
        </w:rPr>
        <w:t>E. 3.3</w:t>
      </w:r>
    </w:p>
    <w:p>
      <w:r>
        <w:t>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(BGE 134 IV 216 E. 4.4.3). Art. 181 StGB ist ein Erfolgsdelikt; die Anwendung des Nötigungsmittels muss den Betroffenen in seiner Handlungsfreiheit beeinträchtigen. Die Tatbe- standsvariante der «anderen Beschränkung der Handlungsfreiheit» ist restriktiv auszulegen. Nicht jeder noch so geringfügige Druck auf die Entscheidungsfreiheit eines anderen führt zu einer Bestra- fung nach Art. 181 StGB. Das Zwangsmittel der «anderen Beschränkung der Handlungsfreiheit» muss, um tatbestandsmässig zu sein, das üblicherweise geduldete Mass an Beeinflussung in ähnli- cher Weise eindeutig überschreiten, wie es für die im Gesetz ausdrücklich genannten Zwangsmittel der Gewalt und der Androhung ernstlicher Nachteile gilt. Es muss ihm mithin eine den gesetzlich genannten Mitteln vergleichbare Zwangswirkung zukommen (BGE 141 IV 437 E. 3.2.1 f. mit Hinwei- sen; Urteil BGer 6B_852/2019 vom 16. Juli 2020 E. 2.2.2). Eine Nötigung ist nur unrechtmässig, wenn das Mittel oder der Zweck unerlaubt ist, wenn das Mittel zum erstrebten Zweck nicht im richti- gen Verhältnis steht oder wenn die Verknüpfung zwischen einem an sich zulässigen Mittel und einem erlaubten Zweck rechtsmissbräuchlich oder sittenwidrig ist (BGE 141 IV 437 E. 3.2.1; 137 IV 326 E. 3.3.1; 134 IV 216 E. 4.1; je mit Hinweisen). Letzteres trifft insbesondere zu, wenn zwischen dem Gegenstand der Drohung und demjenigen der Forderung kein sachlicher Zusammenhang besteht (BGE 120 IV 17 E. 2a.bb; 106 IV 125 E. 3a). Der Beschwerdeführer macht geltend, dass die psychische Beeinflussung durch nahestehende Personen, verbunden mit dem Zeitdruck unmittelbar vor einer Urteilsverkündung bei ihm zu einem</w:t>
      </w:r>
    </w:p>
    <w:p>
      <w:r>
        <w:t>Kantonsgericht KG Seite 6 von 7 Verhalten geführt haben, das nicht mehr als Ausdruck seines freien Willens interpretiert werden könne. Er sei in eine Situation gedrängt worden, in der er faktisch keine Wahl gehabt habe. Mit Blick auf die vom Beschwerdeführer selbst eingereichten Aktenstücke (insbesondere die Vollmacht und das Begleitschreiben) kann festgestellt werden, dass die «psychische Beeinflussung durch nahestehende Personen» nicht ein Nötigungsmittel im Sinne einer «Androhung ernstlicher Nachteile» oder einer «Beschränkung der Handlungsfreiheit» des Beschwerdeführers nach Art. 181 StGB darstellt. Der Beschwerdeführer legt denn auch nicht dar, weswegen das Rechtsgeschäft unbedingt im Eiltempo vor der Hauptverhandlung in seiner Strafsache abgeschlossen werden musste und weswegen ihm keine andere Handlungsoption offenstand. Aus dem Dargelegten folgt, dass die Staatsanwaltschaft zu Recht kein Strafverfahren an die Hand genommen hat. Die Beschwerde ist abzuweisen.</w:t>
      </w:r>
    </w:p>
    <w:p>
      <w:r>
        <w:rPr>
          <w:b/>
        </w:rPr>
        <w:t>E. 4</w:t>
      </w:r>
    </w:p>
    <w:p>
      <w:r>
        <w:t>Der Beschwerdeführer beantragt die Erteilung der unentgeltlichen Rechtspflege für das Beschwerdeverfahren. Da er Strafantrag gestellt hat, hat er sich als Privatklägerschaft konstituiert (vgl. Art. 118 Abs. 1 und 2 StPO). Gemäss Art. 136 Abs. 1 Bst. a StPO wird der Privatklägerschaft für die Durchsetzung ihrer Zivilansprüche ganz oder teilweise die unentgeltliche Rechtspflege erteilt, wenn die Privatklägerschaft nicht über die erforderlichen Mittel verfügt und die Zivilklage nicht aussichtslos erscheint. Die Privatklägerschaft hat darzulegen, dass sie nicht über die erforderlichen Mittel verfügt und dass ihre Zivilklage nicht aussichtslos erscheint (Urteil BGer 1B_45/2012 vom</w:t>
      </w:r>
    </w:p>
    <w:p>
      <w:r>
        <w:rPr>
          <w:b/>
        </w:rPr>
        <w:t>E. 8</w:t>
      </w:r>
    </w:p>
    <w:p>
      <w:r>
        <w:t>Juni 2012 E. 4.3).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138 III 217 E. 2.2.4).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133 III 614 E. 5 mit Hinweisen). Inwiefern dem Beschwerdeführer aus den angeblichen Straftaten privatrechtliche Ansprüche zustehen sollten, legt er weder dar noch ist dies ersichtlich. Die Abweisung der Beschwerde zieht ohnehin die Aussichtslosigkeit zivilrechtrechtlicher Ansprüche im Strafverfahren nach sich. Das Gesuch um unentgeltliche Rechtspflege ist somit abzuweisen. 5. Nach Art. 428 Abs. 1 StPO tragen die Parteien die Kosten des Rechtsmittelverfahrens nach Mass- gabe ihres Obsiegens oder Unterliegens. Die Beschwerde wird abgewiesen. Die Verfahrenskosten von CHF 500.- (Gebühr: CHF 400.-; Auslagen: CHF 100.-) sind demnach dem Beschwerdeführer aufzuerlegen. Es ist keine Parteientschädigung zu sprechen. (Dispositiv auf der nächsten Seite)</w:t>
      </w:r>
    </w:p>
    <w:p>
      <w:r>
        <w:t>Kantonsgericht KG Seite 7 von 7 Die Kammer erkennt: I. Die Beschwerde wird abgewiesen. Die Verfügung der Staatsanwaltschaft vom 26. Juni 2025 wird bestätigt. II. Das Gesuch um unentgeltliche Rechtspflege wird abgewiesen. III. Die Verfahrenskosten werden auf CHF 500.- (Gebühr: CHF 400.-; Auslagen: CHF 100.-) fest- gesetzt und A.________ auferlegt. IV. Es wird keine Entschädigung zugesprochen.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11. September 2025/ach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