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98 vom 23. September 2024</w:t>
      </w:r>
    </w:p>
    <w:p>
      <w:r>
        <w:t>FR Kantonsgericht, 2024-09-23, FR</w:t>
      </w:r>
    </w:p>
    <w:p>
      <w:r>
        <w:rPr>
          <w:b/>
        </w:rPr>
        <w:t xml:space="preserve">Quelle: </w:t>
      </w:r>
      <w:r>
        <w:t>https://mcp.opencaselaw.ch/entscheid/fr_gerichte_502_2024_98</w:t>
      </w:r>
    </w:p>
    <w:p>
      <w:r>
        <w:t>FR: FR_GERICHTE 502 2024 98 du 23 septembre 2024</w:t>
      </w:r>
    </w:p>
    <w:p>
      <w:r>
        <w:t>IT: FR_GERICHTE 502 2024 98 del 23 settembre 2024</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du code de procédure pénale suisse du 5 octobre 2007 [CPP ; RS 312.0] et 85 al. 1 de la loi du 31 mai 2010 sur la justice [LJ ; RSF 130.1],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Le recours doit être motivé (art. 396 al. 1 CPP) et indiquer précisément les motifs qui commandent une autre décision (art. 385 al. 1 let. b CPP). Ces conditions de recevabilité sont remplies dans le cas d'espèce.</w:t>
      </w:r>
    </w:p>
    <w:p>
      <w:r>
        <w:rPr>
          <w:b/>
        </w:rPr>
        <w:t>E. 1.3</w:t>
      </w:r>
    </w:p>
    <w:p>
      <w:r>
        <w:t>L’ordonnance querellée prononçant la non-entrée en matière sur sa plainte pénale, le recourant a qualité pour recourir au sens des art. 382 al. 1 et 104 al. 1 let. b CPP.</w:t>
      </w:r>
    </w:p>
    <w:p>
      <w:r>
        <w:rPr>
          <w:b/>
        </w:rPr>
        <w:t>E. 1.4</w:t>
      </w:r>
    </w:p>
    <w:p>
      <w:r>
        <w:t>La Chambre pénale statue sans débats (art. 397 al. 1 CPP).</w:t>
      </w:r>
    </w:p>
    <w:p>
      <w:r>
        <w:rPr>
          <w:b/>
        </w:rPr>
        <w:t>E. 2</w:t>
      </w:r>
    </w:p>
    <w:p>
      <w:r>
        <w:t>B.________ avait sollicité la récusation du Procureur le 29 février 2024. Conformément à l’art. 59 al. 1 let. b CPP, cette requête aurait dû être tranchée par la Chambre pénale. Le Procureur a toutefois continué à s’occuper du dossier, ce qui est correct (art. 59 al. 3 CPP), puis a tranché lui-même dans les considérants de son ordonnance la demande de récusation, considérant que la non-entrée en matière sur la plainte pénale démontrait son absence de prévention à l’encontre de B.________, ce qui est particulier. Le recourant ne se plaint toutefois pas de ce raccourci procédural. Il n’y a dès lors pas lieu de s’arrêter plus longuement sur la procédure de récusation, sauf à préciser que si la cause devait être retournée au Ministère public comme le requiert A.________, le Procureur devra inviter B.________ à préciser si elle maintient sa demande de récusation ; si tel devait être le cas, il devra procéder comme il est dit aux art. 58 et 59 CPP.</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w:t>
      </w:r>
    </w:p>
    <w:p>
      <w:r>
        <w:t>Tribunal cantonal TC Page 4 de 7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(arrêt TF 6B_1153/2016 du 23 janvier 2018 consid. 3.1 et les références citées).</w:t>
      </w:r>
    </w:p>
    <w:p>
      <w:r>
        <w:rPr>
          <w:b/>
        </w:rPr>
        <w:t>E. 3.2.1</w:t>
      </w:r>
    </w:p>
    <w:p>
      <w:r>
        <w:t>L'art. 173 CP (diffamation) punit quiconque, en s’adressant à un tiers, accuse une personne ou jette sur elle le soupçon de tenir une conduite contraire à l’honneur, ou de tout autre fait propre à porter atteinte à sa considération, mais aussi quiconque propage une telle accusation ou un tel soupçon (al. 1). L’art. 173 CP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148 IV 409 consid. 2.3). Est un tiers au sens de l’art. 173 CP toute personne autre que l’auteur et la personne lésée. Ce peut ainsi être l’avocat de l’auteur, ou un magistrat (CR CP II-RIEBEN/MAZOU, 2017, art. 173 n. 16 et les références citées). Dans des arrêts récents, le Tribunal fédéral a passé en revue sa jurisprudence sur la question et constate qu'il n'existe pas de raison suffisante de s'écarter de cette qualification s'agissant de l'avocat (ATF 148 IV 409 ; 145 IV 462 consid. 4.3.3 et 4.3.4). L’auteur n’encourt aucune peine s’il prouve que les allégations qu’il a articulées ou propagées sont conformes à la vérité ou qu’il a des raisons sérieuses de les tenir de bonne foi pour vraies (al. 2). Il n’est pas admis à faire ces preuves et est punissable si ses allégations ont été articulées ou propagées sans égard à l’intérêt public ou sans autre motif suffisant, principalement dans le dessein de dire du mal d’autrui, notamment lorsqu’elles ont trait à la vie privée ou à la vie de famille (al. 3).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preuves découvertes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Il convient en outre de se demander si</w:t>
      </w:r>
    </w:p>
    <w:p>
      <w:r>
        <w:t>Tribunal cantonal TC Page 5 de 7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La preuve de la bonne foi est surtout conçue pour celui qui a été induit en erreur par des éléments crédibles qui se révèlent ensuite faux ou encore pour celui qui a formulé un soupçon sur la base d'indices sérieux, mais qui ne peuvent ensuite pas être confirmés (ATF 124 IV 149 consid. 3).</w:t>
      </w:r>
    </w:p>
    <w:p>
      <w:r>
        <w:rPr>
          <w:b/>
        </w:rPr>
        <w:t>E. 3.2.2</w:t>
      </w:r>
    </w:p>
    <w:p>
      <w:r>
        <w:t>L'art. 174 CP (calomnie) punit quiconque, connaissant la fausseté de ses allégations et en s’adressant à un tiers, accuse une personne ou jette sur elle le soupçon de tenir une conduite contraire à l’honneur, ou de tout autre fait propre à porter atteinte à sa considération. La calomnie est donc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4.1</w:t>
      </w:r>
    </w:p>
    <w:p>
      <w:r>
        <w:t>Le Ministère public a considéré que les propos litigieux ont été tenus alors que B.________ était persuadée que A.________ était à l’origine de la mort de son enfant. Elle pensait aussi qu’il avait profité de la détention provisoire de sa sœur pour vider les comptes bancaires. Les propos ont été tenus dans le cadre de l’instruction, où les personnes entendues doivent pouvoir s’exprimer librement afin de garantir la recherche de la vérité. B.________ ne poursuivait pas le but de porter atteinte à l’honneur du recourant pour en dire du mal, mais exprimait ce qu’elle considérait comme vrai, de bonne foi.</w:t>
      </w:r>
    </w:p>
    <w:p>
      <w:r>
        <w:rPr>
          <w:b/>
        </w:rPr>
        <w:t>E. 4.2</w:t>
      </w:r>
    </w:p>
    <w:p>
      <w:r>
        <w:t>A.________ expose dans son pourvoi que les propos sont indubitablement attentatoires à son honneur, et qu’ils ont été proférés dans le seul but de dire du mal de lui. Il considère que dans la mesure où B.________ ne s’est jamais déterminée sur la plainte pénale, le Ministère public s’est substitué à la précitée au sujet des raisons qui l’ont amenée à s’exprimer de la sorte. Elle ne pouvait enfin ignorer que les soupçons contre sa sœur avaient un réel fondement.</w:t>
      </w:r>
    </w:p>
    <w:p>
      <w:r>
        <w:rPr>
          <w:b/>
        </w:rPr>
        <w:t>E. 4.3</w:t>
      </w:r>
    </w:p>
    <w:p>
      <w:r>
        <w:t>En l'espèce, B.________ a clairement ainsi laissé entendre qu’elle tenait A.________ pour responsable de la mort de sa fille. Il est manifeste que ces propos portent atteinte à l’honneur du précité. Il en va de même de l’accusation d’être un voleur. Ces accusations ont été proférées à des tiers, soit deux policiers et trois avocats. B.________ n’a pas apporté la preuve de la vérité. Reste à déterminer si elle était de bonne foi et si ses propos n’ont pas été propagés sans motif suffisant. Pour trancher cette question, il faut revenir sur les circonstances extraordinaires du cas d’espèce. C.________ a toujours clamé son innocence et continue de le faire nonobstant sa condamnation définitive à la suite de l’arrêt du Tribunal fédéral. Une demande de révision a du reste d’ores et déjà été déposée. B.________ croit en l’innocence de sa sœur. Cela ressort sans ambages des propos qu’elle a tenus le 8 octobre 2021. Il ne peut lui en être fait le reproche, même à retenir que cette hypothèse serait battue en brèche par les éléments du dossier. Il est en effet compréhensible qu’on ne puisse se</w:t>
      </w:r>
    </w:p>
    <w:p>
      <w:r>
        <w:t>Tribunal cantonal TC Page 6 de 7 résoudre à admettre que sa propre sœur a commis un crime aussi monstrueux, d’autant lorsque celle-ci affirme qu’elle est innocente et soutient que le dossier comporte des failles. Que les trois tribunaux qui se sont prononcés soient arrivés à la conclusion, indiscutable pour eux, que c’est bien C.________ qui a tué l’enfant, n’y change rien. Il n’y a ainsi pas lieu de mettre en doute la bonne foi de B.________ lorsqu’elle déclare que sa sœur est à ses yeux innocente, et qu’elle est la victime de A.________, également s’agissant des prélèvements bancaires. Or, être persuadé de l’innocence de C.________ revient à soutenir, au moins tacitement, que A.________ est le responsable de l’horrible acte. Certes, B.________ ne s’est pas contentée de clamer l’innocence de sa sœur ; elle a expressément accusé A.________. L’un implique toutefois l’autre. Il n’en demeure en outre pas moins que, compte tenu de sa compréhension de la situation, B.________ était de bonne foi et poursuivait un but évidemment louable à ses yeux, soit démontrer l’innocence de sa sœur, éviter une erreur judiciaire et confondre celui qu’elle tient pour le véritable responsable. Le recourant ne peut être suivi lorsqu’il explique que les propos incriminés ne visaient qu’à dire du mal de lui. Il faut aussi relever que B.________ a tenu ses propos dans le cadre de l’enquête pénale, lors d’une audition devant des tiers parfaitement au courant de la situation, en particulier des dénégations de C.________, et de l’implication de ces dénégations envers le recourant. La situation ne serait évidemment pas comparable si B.________ les avait tenus par exemple sur les réseaux sociaux. Compte tenu des circonstances extraordinaires du cas d’espèce, c’est avec raison que le Ministère public s’est fondé sur les art. 173 ch. 2 CP et 310 CPP. Le recours est rejeté.</w:t>
      </w:r>
    </w:p>
    <w:p>
      <w:r>
        <w:rPr>
          <w:b/>
        </w:rPr>
        <w:t>E. 5.1</w:t>
      </w:r>
    </w:p>
    <w:p>
      <w:r>
        <w:t>Il est exceptionnellement renoncé à percevoir des frais judiciaires.</w:t>
      </w:r>
    </w:p>
    <w:p>
      <w:r>
        <w:rPr>
          <w:b/>
        </w:rPr>
        <w:t>E. 5.2</w:t>
      </w:r>
    </w:p>
    <w:p>
      <w:r>
        <w:t>En tant qu’elle vise la dispense des frais judiciaires, la requête d’assistance judiciaire est dès lors sans objet. En tant qu’elle tend à la désignation d’un avocat d’office pour la procédure de recours, elle est rejetée. En effet, A.________ ne semble pas être une victime au sens des art. 116 et 136 al. 1 let. b CPP. Il ne le prétend du reste pas. Il ne peut dès lors obtenir l’assistance judiciaire que pour faire valoir ses prétention civiles (art. 136 al. 1 let. a CPP) ; or, il n’aborde pas cette question, sauf à dire qu’il a été profondément blessé par les accusations proférées par B.________. Quoi qu’il en soit, si le contexte dans lequel la plainte pénale a été déposée est certes dramatique, la difficulté de la présente cause ne justifie pas la désignation d’un avocat d’office (art. 136 al. 2 let. c CPP), A.________ ayant du reste déposé plainte pénale sans l’assistance d’un avocat. Son incarcération actuelle n’y change rien. Quant au principe de l’égalité des armes invoqué dans la requête d’assistance judiciaire, il est insuffisant, sauf à reconnaître le droit à un avocat d’office à chaque partie plaignante indigente lorsque le prévenu est représenté par un avocat, ce qui n’est pas le souhait du législateur.</w:t>
      </w:r>
    </w:p>
    <w:p>
      <w:r>
        <w:rPr>
          <w:b/>
        </w:rPr>
        <w:t>E. 5.3</w:t>
      </w:r>
    </w:p>
    <w:p>
      <w:r>
        <w:t>Il n'est pas alloué d'indemnité à A.________ qui succombe. Il n’est pas alloué d’indemnité à B.________, qui n’a pas été invitée à se déterminer.</w:t>
      </w:r>
    </w:p>
    <w:p>
      <w:r>
        <w:t>Tribunal cantonal TC Page 7 de 7 la Chambre arrête : I. Le recours du 29 avril 2024 est rejeté. Partant, l'ordonnance de non-entrée en matière du Ministère public du 15 avril 2024 est confirmée. II. Il est renoncé à percevoir des frais de procédure. III. La requête d’assistance judiciaire, en tant qu’elle porte sur la dispense des frais judiciaires, est sans objet. En tant qu’elle porte sur la désignation d’un avocat d’office à A.________, elle est rejetée. IV. Aucune indemnité de partie n'est allouée V. Notification. La présente ordonnance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23 septembre 2024/st4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