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308 vom 19. Februar 2025</w:t>
      </w:r>
    </w:p>
    <w:p>
      <w:r>
        <w:t>FR Kantonsgericht, 2025-02-19, FR</w:t>
      </w:r>
    </w:p>
    <w:p>
      <w:r>
        <w:rPr>
          <w:b/>
        </w:rPr>
        <w:t xml:space="preserve">Quelle: </w:t>
      </w:r>
      <w:r>
        <w:t>https://mcp.opencaselaw.ch/entscheid/fr_gerichte_502_2024_308</w:t>
      </w:r>
    </w:p>
    <w:p>
      <w:r>
        <w:t>FR: FR_GERICHTE 502 2024 308 du 19 février 2025</w:t>
      </w:r>
    </w:p>
    <w:p>
      <w:r>
        <w:t>IT: FR_GERICHTE 502 2024 308 del 19 febbraio 2025</w:t>
      </w:r>
    </w:p>
    <w:p>
      <w:pPr>
        <w:pStyle w:val="Heading2"/>
      </w:pPr>
      <w:r>
        <w:t>Regeste</w:t>
      </w:r>
    </w:p>
    <w:p>
      <w:r>
        <w:t>Arrêt de la Chambre pénale du Tribunal cantonal | Einstellung des Verfahrens (Art. 319 ff. StPO)</w:t>
      </w:r>
    </w:p>
    <w:p>
      <w:pPr>
        <w:pStyle w:val="Heading2"/>
      </w:pPr>
      <w:r>
        <w:t>Erwägungen</w:t>
      </w:r>
    </w:p>
    <w:p>
      <w:r>
        <w:rPr>
          <w:b/>
        </w:rPr>
        <w:t>E. 19</w:t>
      </w:r>
    </w:p>
    <w:p>
      <w:r>
        <w:t>novembre 2024 est confirmée. II. Les frais de la présente procédure, fixés à CHF 500.- (émolument: CHF 400.-; débours: CHF 100.-) sont mis à la charge de A.________. Ils sont prélevés sur les sûretés prestées.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