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16 vom 13. Mai 2025</w:t>
      </w:r>
    </w:p>
    <w:p>
      <w:r>
        <w:t>FR Kantonsgericht, 2025-05-13, FR</w:t>
      </w:r>
    </w:p>
    <w:p>
      <w:r>
        <w:rPr>
          <w:b/>
        </w:rPr>
        <w:t xml:space="preserve">Quelle: </w:t>
      </w:r>
      <w:r>
        <w:t>https://mcp.opencaselaw.ch/entscheid/fr_gerichte_502_2024_16</w:t>
      </w:r>
    </w:p>
    <w:p>
      <w:r>
        <w:t>FR: FR_GERICHTE 502 2024 16 du 13 mai 2025</w:t>
      </w:r>
    </w:p>
    <w:p>
      <w:r>
        <w:t>IT: FR_GERICHTE 502 2024 16 del 13 maggio 2025</w:t>
      </w:r>
    </w:p>
    <w:p>
      <w:pPr>
        <w:pStyle w:val="Heading2"/>
      </w:pPr>
      <w:r>
        <w:t>Regeste</w:t>
      </w:r>
    </w:p>
    <w:p>
      <w:r>
        <w:t>Arrêt de la Chambre pénale du Tribunal cantonal | Einstellung des Verfahrens (Art. 319 ff. StPO)</w:t>
      </w:r>
    </w:p>
    <w:p>
      <w:pPr>
        <w:pStyle w:val="Heading2"/>
      </w:pPr>
      <w:r>
        <w:t>Erwägungen</w:t>
      </w:r>
    </w:p>
    <w:p>
      <w:r>
        <w:rPr>
          <w:b/>
        </w:rPr>
        <w:t>E. 23</w:t>
      </w:r>
    </w:p>
    <w:p>
      <w:r>
        <w:t>novembre 2005 consid. 3.5). 3.2.2. En l’espèce, il ressort des pièces déposées par B.________ que les frais précités ont été honorés. Ainsi même en ne prenant pas en compte les montants allégués à titre de « forfait assurances et télécommunication », « frais de déplacement » et « assurance RC/ménage », B.________ ne dispose pas des moyens financiers suffisants pour assumer les coûts de sa défense. Son indigence doit donc être admise. 3.2.3. Vu les infractions concernées, les services d’un mandataire professionnel se justifient, B.________ ne pouvant assurer seul sa défense. Il est donc justifié de lui accorder le bénéfice de l’assistance judiciaire ; sa mandataire actuelle pouvant être désignée. 3.2.4. Il convient ainsi d’arrêter l’indemnité due pour la procédure de recours (RFJ 2015 73). Seules les opérations nécessaires à la conduite du procès sont à prendre en considération au stade de la fixation de l’indemnité du défenseur d’office (cf. not. RFJ 1994 83 consid. 3). L’heure est indemnisée à CHF 180.- (art. 57 al. 2 RJ), plus 5 % pour les débours (art. 58 al. 2 RJ). En l’espèce, la mandataire de B.________ allègue une douzaine d’heures de travail. Selon elle, elles comprennent la prise de connaissance du dossier, divers entretiens avec B.________ ainsi que la rédaction du mémoire de détermination, de la requête d’assistance judicaire et les opérations ultérieures. Conformément à l’ordonnance de classement du 15 janvier 2024 rectifiée (DO/10012), B.________ s’était déjà vu octroyé CHF 4’038.15 (TVA comprise) pour l’exercice raisonnable de ses droits de procédure. Le changement de mandataire ne lie pas la Chambre pénale et il n’est pas question d’indemniser deux fois les prestations précédemment déjà fournies. Ainsi tout bien considéré, seule la rédaction du recours doit être prise en compte. Pour celle-ci et les quelques opérations ultérieures, le temps peut être estimé au vu du dossier à environ 4 heures de travail, à CHF 180.-. L’indemnité sera donc fixée à CHF 756.-, débours de CHF 36.- (forfait de 5 %) compris mais TVA (8.1 %) par CHF 61.20 en sus (cf. art. 56 ss RJ).</w:t>
      </w:r>
    </w:p>
    <w:p>
      <w:r>
        <w:t>Tribunal cantonal TC Page 11 de 11 3.3. Au vu de l’issue du recours, les frais de procédure, arrêtés à CHF 1’417.20 (émolument : CHF 500.- ; débours : CHF 100.- ; indemnité de défenseur d’office : CHF 817.20), seront mis à la charge de l'Etat. la Chambre arrête : I. Le recours est admis. Partant, l'ordonnance de classement du 15 janvier 2024 du Ministère public est annulée et la cause lui est renvoyée pour qu'il procède au sens des considérants. II. L’assistance judiciaire en faveur de A.________ est refusée. III. Aucune indemnité de partie n’est allouée à A.________. IV. La requête d’assistance judiciaire en faveur de B.________ est admise. Me Florence Perroud est désignée défenseur d’office de B.________ et l’indemnité qui lui est due en cette qualité est fixée à CHF 817.20 (TVA par CHF 61.20 incluse). V. Les frais de la procédure de recours, arrêtés à CHF 1'417.20 (émolument : CHF 500 ; débours : CHF 100.- ; indemnité de défenseur d’office : CHF 817.20), sont laissés à la charge de l’Etat. VI.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mai 2025/mri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