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124 vom 2. August 2024</w:t>
      </w:r>
    </w:p>
    <w:p>
      <w:r>
        <w:t>FR Kantonsgericht, 2024-08-02, FR</w:t>
      </w:r>
    </w:p>
    <w:p>
      <w:r>
        <w:rPr>
          <w:b/>
        </w:rPr>
        <w:t xml:space="preserve">Quelle: </w:t>
      </w:r>
      <w:r>
        <w:t>https://mcp.opencaselaw.ch/entscheid/fr_gerichte_502_2024_124</w:t>
      </w:r>
    </w:p>
    <w:p>
      <w:r>
        <w:t>FR: FR_GERICHTE 502 2024 124 du 2 août 2024</w:t>
      </w:r>
    </w:p>
    <w:p>
      <w:r>
        <w:t>IT: FR_GERICHTE 502 2024 124 del 2 agosto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du Code de procédure pénale [CPP ; RS 312.0], 64 let. c et 85 al. 1 de la loi du 31 mai 2010 sur la justice (LJ ; RSF 130.1), la voie du recours à la Chambre pénale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940.-, la cause sera tranchée par le Vice-président de la Chambre pénale.</w:t>
      </w:r>
    </w:p>
    <w:p>
      <w:r>
        <w:rPr>
          <w:b/>
        </w:rPr>
        <w:t>E. 1.2</w:t>
      </w:r>
    </w:p>
    <w:p>
      <w:r>
        <w:t>Selon les art. 322 al. 2 et 396 al. 1 CPP, le recours est adressé par écrit dans le délai de dix jours à l’autorité de recours. L’ordonnance attaquée ayant été notifiée le 15 mai 2024, le recours,</w:t>
      </w:r>
    </w:p>
    <w:p>
      <w:r>
        <w:t>Tribunal cantonal TC Page 3 de 5 déposé à la Poste le 21 mai 2024, l’a été en temps utile. Que le recourant l’ait adressé au Ministère public et non à l’autorité de recours est sans incidence (art. 91 al. 4 CPP).</w:t>
      </w:r>
    </w:p>
    <w:p>
      <w:r>
        <w:rPr>
          <w:b/>
        </w:rPr>
        <w:t>E. 1.3</w:t>
      </w:r>
    </w:p>
    <w:p>
      <w:r>
        <w:t>Le recourant, à qui les frais ont été mis à charge, est directement touché par l’ordonnance de classement et a ainsi la qualité pour recourir (art. 382 al. 1 CPP).</w:t>
      </w:r>
    </w:p>
    <w:p>
      <w:r>
        <w:rPr>
          <w:b/>
        </w:rPr>
        <w:t>E. 1.4</w:t>
      </w:r>
    </w:p>
    <w:p>
      <w:r>
        <w:t>Il sera statué sans débats (art. 397 al. 1 CPP).</w:t>
      </w:r>
    </w:p>
    <w:p>
      <w:r>
        <w:rPr>
          <w:b/>
        </w:rPr>
        <w:t>E. 2.1</w:t>
      </w:r>
    </w:p>
    <w:p>
      <w:r>
        <w:t>Concernant le contexte légal, l’art. 55 al. 2 de la loi fédérale sur la circulation routière du 19 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55 al. 3 LCR et 12a de l’Ordonnance du 28 mars 2007 sur le contrôle de la circulation routière (OCCR ; RS 741.013),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ces analyses peuvent être mis à la charge du recourant alors même qu’aucune infraction à la LCR n’a été commise.</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arrêt du Tribunal fédéral 6B_762/2022 du 11 janvier 2023 consid. 2.1.1 et les références citées). 3.2. Il est encore précisé qu’une mise à la charge des frais sur la base de l’art. 426 al. 2 CPP n'entre en ligne de compte que si l'autorité a pu être amenée à ouvrir une procédure pénale en raison du comportement contraire à la norme du prévenu, dans l'exercice de son pouvoir d'appréciation (BSK StPO/JStPO-DOMEISEN, 3ème éd. 2023, art. 426 n. 29). Ainsi, les frais de procédure d'une enquête pour conduite sous l'influence de drogues peuvent être mis à la charge du</w:t>
      </w:r>
    </w:p>
    <w:p>
      <w:r>
        <w:t>Tribunal cantonal TC Page 4 de 5 prévenu, malgré le classement, si au moment de l'interpellation, il existait un soupçon initial suffisant d'incapacité de conduire due à la consommation de drogues. Il existe notamment des motifs de suspicion d'incapacité de conduire en raison de l'influence de stupéfiants lorsque le conducteur laisse une impression d'ivresse, de fatigue, d'euphorie, d'apathie ou de toute autre manière frappante ou qu'il indique avoir consommé des stupéfiants (Instructions de l'OFROU du 2 août 2016 concernant la constatation de l'incapacité de conduire dans le trafic routier, ch. 2.2.1). 3.3. Dans le cas d’une procédure ouverte pour conduite en état d’incapacité, le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ou encore lorsque le prévenu présente des signes évidents de consommation de stupéfiants, est en possession de 2 g de haschisch et admet avoir consommé cette substance la veille, à 18h00, et de manière occasionnelle (2 g par mois) depuis une année, ceci sans qu’un test Drugwipe n’ait été pratiqué (arrêt TC FR 502 2021 28 du 22 mars 2021). En revanche, la Chambre pénale a refusé de mettre les frais à la charge du prévenu acquitté dans une affaire où il ressortait du dossier que le teint blême était le seul indice physique et comportemental indiquant une incapacité de conduire ; aucune substance n'avait été trouvée lors de la fouille du véhicule et de la personne et le prévenu a déclaré avoir consommé un joint de haschisch 21 heures avant le contrôle. Les indices d’une infraction à la LCR étaient alors trop ténus. Un état de fait si incertain nécessitait alors à tout le moins, comme mesure préalable, d’effectuer un test moins coûteux, de type DrugWipe, qui aurait permis de savoir si les frais supplémentaires liés aux examens de l’urine et du sang se justifiaient ou non (arrêt TC FR 502 2020 220 du 20 novembre 2020). 3.4. En l'espèce, lors de son contrôle, A.________ présentait des signes d'une consommation récente de stupéfiants au travers de ses yeux brillants. Cette caractéristique incita les agents de gendarmerie à le soumettre à un test salivaire, de type DrugWipe, étant précisé que cet examen préliminaire ne requiert pas l’existence de soupçons particuliers laissant présumer la commission d'une infraction pour être exécuté. Alors que le test se révéla positif à la cocaïne, l'intéressé admit qu'il consommait de manière occasionnelle de la marijuana et de la cocaïne et que sa dernière consommation remontait au 18 janvier 2024 en France, soit 3 jours avant le contrôle. A la lumière de cet aveu et compte tenu du résultat positif du test salivaire, il existait des indices sérieux de penser qu'il se trouvait dans l'incapacité de conduire (art. 91 al. 2 lit. b LCR). C'est donc légitimement que les agents ont requis des analyses de sang et d'urine, auxquelles l'intéressé consentit. Les agents n'ont donc pas agi par zèle ou dans la précipitation. Il existait en l’occurrence des soupçons suffisants d’incapacité pour se voir mettre à sa charge les frais des tests réalisés. Le prévenu a ainsi provoqué de manière fautive l’ouverture de la procédure menée à son encontre. Les frais de procédure correspondants sont en relation de causalité adéquate avec le comportement du prévenu et doivent donc être supportés par le recourant, conformément à l’art. 426 al. 2 CPP. Il s'ensuit que le recours est rejeté.</w:t>
      </w:r>
    </w:p>
    <w:p>
      <w:r>
        <w:t>Tribunal cantonal TC Page 5 de 5</w:t>
      </w:r>
    </w:p>
    <w:p>
      <w:r>
        <w:rPr>
          <w:b/>
        </w:rPr>
        <w:t>E. 4</w:t>
      </w:r>
    </w:p>
    <w:p>
      <w:r>
        <w:t>Vu l'issue du pourvoi et en application des art. 428 al. 1 CPP, 33 ss et 43 du règlement sur la justice (RJ ; RSF 130.11), les frais de la procédure de recours arrêté à CHF 250.- (émolument CHF 200.- ; débours CHF 50.-), sont mis à la charge de A.________. le Vice-président de la Chambre arrête : I. Le recours est rejeté. Partant, le chiffre 2 de l'ordonnance de classement du Ministère public du 8 mai 2024 est confirmée. II. les frais de procédure de recours, arrêté à CHF 250.- (émolument : CHF 200.- ; débours :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2024/st4 Le Vice-président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