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2024 104 vom 23. Mai 2024</w:t>
      </w:r>
    </w:p>
    <w:p>
      <w:r>
        <w:t>FR Kantonsgericht, 2024-05-23, FR</w:t>
      </w:r>
    </w:p>
    <w:p>
      <w:r>
        <w:rPr>
          <w:b/>
        </w:rPr>
        <w:t xml:space="preserve">Quelle: </w:t>
      </w:r>
      <w:r>
        <w:t>https://mcp.opencaselaw.ch/entscheid/fr_gerichte_502_2024_104</w:t>
      </w:r>
    </w:p>
    <w:p>
      <w:r>
        <w:t>FR: FR_GERICHTE 502 2024 104 du 23 mai 2024</w:t>
      </w:r>
    </w:p>
    <w:p>
      <w:r>
        <w:t>IT: FR_GERICHTE 502 2024 104 del 23 maggio 2024</w:t>
      </w:r>
    </w:p>
    <w:p>
      <w:pPr>
        <w:pStyle w:val="Heading2"/>
      </w:pPr>
      <w:r>
        <w:t>Regeste</w:t>
      </w:r>
    </w:p>
    <w:p>
      <w:r>
        <w:t>Arrêt de la Chambre pénale du Tribunal cantonal | Untersuchungs- oder Sicherheitshaft (Art. 222 und 231-233 StPO)</w:t>
      </w:r>
    </w:p>
    <w:p>
      <w:pPr>
        <w:pStyle w:val="Heading2"/>
      </w:pPr>
      <w:r>
        <w:t>Erwägungen</w:t>
      </w:r>
    </w:p>
    <w:p>
      <w:r>
        <w:rPr>
          <w:b/>
        </w:rPr>
        <w:t>E. 1.1</w:t>
      </w:r>
    </w:p>
    <w:p>
      <w:r>
        <w:t>Interjeté dans le délai légal (art. 396 al. 1 CPP) auprès de la Chambre pénale du Tribunal cantonal (ci-après : la Chambre), contre une décision du Tmc dans un cas prévu par le CPP (art. 20 al. 1 let. c, 222 et 393 al. 1 let. c CPP; art. 64 let. c et 85 de la loi sur la justice du 31 mai 2020 [LJ; RSF 130.1]), par le prévenu détenu qui a la qualité pour recourir (art. 382 al. 1 CPP) et dans les formes prescrites (art. 385 al. 1 CPP), le recours est recevable.</w:t>
      </w:r>
    </w:p>
    <w:p>
      <w:r>
        <w:rPr>
          <w:b/>
        </w:rPr>
        <w:t>E. 1.2</w:t>
      </w:r>
    </w:p>
    <w:p>
      <w:r>
        <w:t>La Chambre dispose d'une pleine cognition en fait et en droit (art. 393 al. 2 CPP) et statue sans débats (art. 397 al. 1 CPP).</w:t>
      </w:r>
    </w:p>
    <w:p>
      <w:r>
        <w:rPr>
          <w:b/>
        </w:rPr>
        <w:t>E. 2</w:t>
      </w:r>
    </w:p>
    <w:p>
      <w:r>
        <w:t>Le recourant soutient qu’aucune infraction ne peut lui être reprochée.</w:t>
      </w:r>
    </w:p>
    <w:p>
      <w:r>
        <w:rPr>
          <w:b/>
        </w:rPr>
        <w:t>E. 2.1</w:t>
      </w:r>
    </w:p>
    <w:p>
      <w:r>
        <w:t>La détention provisoire ne peut être ordonnée que lorsque le prévenu est fortement soupçonné d’avoir commis un crime ou un délit (art. 221 CPP).</w:t>
      </w:r>
    </w:p>
    <w:p>
      <w:r>
        <w:rPr>
          <w:b/>
        </w:rPr>
        <w:t>E. 2.2</w:t>
      </w:r>
    </w:p>
    <w:p>
      <w:r>
        <w:t>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(ATF 143 IV 330 consid. 2.1; 143 IV 316 consid. 3.1 et 3.2). Il n’appartient pas non plus au juge de la détention de qualifier juridiquement définitivement les faits examinés (arrêt TF 1B_143/2019 du 23 avril 2019 consid. 3.4.). Le constat par la police d’un flagrant délit ou des aveux crédibles du prévenu constituent dans la règle des forts soupçons au sens de l’art. 221 al. 1 CPP (CR CPP-CHAIX, 2e éd. 2019, art. 221 n. 8).</w:t>
      </w:r>
    </w:p>
    <w:p>
      <w:r>
        <w:rPr>
          <w:b/>
        </w:rPr>
        <w:t>E. 2.3</w:t>
      </w:r>
    </w:p>
    <w:p>
      <w:r>
        <w:t>Dans sa décision, le Tmc a tenu compte du fait que l’enquête débutait. Après avoir pris connaissance des premières auditions du prévenu et de son comparse effectuées par la police et par-devant le Ministère public, il a constaté que ceux-ci ne contestaient pas leur implication dans un système consistant à utiliser des points de fidélité ne leur appartenant pas. Il a toutefois relevé que leurs déclarations ne se regroupaient pas sur plusieurs points, lesquels devront être résolus. Le Tmc a ensuite précisé les points sur lesquels l’enquête devait encore porter. Ainsi, les déclarations du prévenu devront être vérifiées, l’ampleur exacte de ces agissements devra être établie et le rôle respectif des protagonistes dans la commission des infractions devra être spécifié. Il conviendra aussi de déterminer quand, exactement, le prévenu est arrivé en Suisse, et s’il a commis d’autres cas. Il faudra également identifier les dénommés « J.________ », « K.________ » et « L.________ ». Le véhicule utilisé par le prévenu et son acolyte doit être fouillé et les téléphones portables séquestrés seront analysés. Les antécédents du prévenu à l’étranger seront probablement demandés. En outre, les lésés doivent être identifiés et il conviendra également de déterminer ce qu’il est advenu de la marchandise indument obtenue. Enfin, le prévenu sera réentendu, le cas échéant en confrontation avec I.________, mais également avec les dénommés « J.________ », « K.________ » et « L.________ ».</w:t>
      </w:r>
    </w:p>
    <w:p>
      <w:r>
        <w:t>Tribunal cantonal TC Page 4 de 5 Le Tmc a dès lors considéré que les soupçons pesant sur le prévenu apparaissaient suffisamment forts au sens de l’art. 221 al. 1 CPP et a précisé que le prévenu lui-même ne le contestait pas.</w:t>
      </w:r>
    </w:p>
    <w:p>
      <w:r>
        <w:rPr>
          <w:b/>
        </w:rPr>
        <w:t>E. 2.4</w:t>
      </w:r>
    </w:p>
    <w:p>
      <w:r>
        <w:t>Le recourant estime qu’aucune infraction pénale ne peut lui être reprochée. Il part du principe que les actes pour lesquels il est poursuivi n’ont causé aucun dommage à G.________, la décision attaquée ne désignant pas cette enseigne comme étant lésée. Selon lui, les lésés sont les détenteurs de la carte D.________ dont les points de fidélité ont été utilisés indûment. Or, la personne lésée à l’origine de l’affaire a déposé une plainte pénale pour utilisation frauduleuse d’un ordinateur au sens de l’art. 147 al. 1 CP, mais non pour escroquerie au sens de l’art. 146 al. 1 CP. Selon le recourant, les achats qui lui sont reprochés n’ont causé aucun dommage supplémentaire au piratage des points de fidélité. Le recourant soutient que s’il devait y avoir un dommage, il ne serait intervenu qu’au moment du piratage des données. Il estime donc qu’une infraction indépendante, comme l’escroquerie, est exclue en ce qui le concerne. Il en irait de même de la complicité dans l’utilisation frauduleuse d’un ordinateur, puisque le piratage a été réalisé avant son intervention. Enfin, le recourant argue que le recel au sens de l’art. 160 al. 1 CP n’entre non plus pas en ligne de compte du fait que seule une chose peut faire l’objet d’un recel, ce qui exclut la monnaie scripturale, respectivement les données tels que des points de fidélité.</w:t>
      </w:r>
    </w:p>
    <w:p>
      <w:r>
        <w:rPr>
          <w:b/>
        </w:rPr>
        <w:t>E. 2.5</w:t>
      </w:r>
    </w:p>
    <w:p>
      <w:r>
        <w:t>Dans ses observations, le Ministère public réitère que de forts soupçons pèsent sur le prévenu quant à la commission répétée de l’infraction d’escroquerie.</w:t>
      </w:r>
    </w:p>
    <w:p>
      <w:r>
        <w:rPr>
          <w:b/>
        </w:rPr>
        <w:t>E. 2.6</w:t>
      </w:r>
    </w:p>
    <w:p>
      <w:r>
        <w:t>En l’espèce, le recourant a utilisé des points de fidélité, qui ne lui appartenaient pas, pour acheter divers appareils Apple à des prix réduits dans des magasins E.________, alors qu’il savait que ces données avaient été obtenues de manière illicite. Il a reconnu les faits et a été en plus pris en flagrant délit. A ce stade de la procédure, le Ministère public a qualifié les actes commis par le recourant comme étant susceptibles d’être de l’escroquerie. D’une part, la qualification des faits commis peut être réexaminée en fonction des nouveaux éléments de l’enquête, qui n’en est pour le moment qu’à ses débuts. D’autre part, il n’appartient pas au juge de la détention, respectivement à la Chambre, de les qualifier, mais bien au juge du fond. Cela étant, le recourant est effectivement fortement soupçonné d’être membre d’une organisation qui visait à s’octroyer, sans droit et au préjudice de leurs véritables titulaires, des points fidélités de la carte D.________ afin d’acquérir sans contrepartie de leur part pour le montant de ces points du matériel informatique et de téléphonie. Si définir exactement les infractions en cause n’est a priori pas aisé compte tenu des éléments actuellement recueillis, il y a des indices importants d’une activité criminelle visant à obtenir sans contrepartie, ou plus exactement en contrepartie de données acquises frauduleusement, du matériel électronique. A ce stade de la procédure pénale, l’escroquerie, avec les qualifications aggravantes de la commission en bande et par métier, ne peut en tout cas pas être exclue. Les aveux et le flagrant délit sont largement suffisants pour considérer que de forts soupçons pèsent sur le recourant. Les arguments fallacieux de ce dernier ne parviennent de toute évidence pas à renverser la présomption de l’existence de tels soupçons. Aussi, la détention d’un mois se justifie pour que le Ministère public puisse éclaircir les faits et la situation juridique qui en découle. Il importe toutefois de souligner que si le Ministère public entend demander la prolongation de la détention, il devra expliquer quelles infractions sont, à son avis, réalisées, contre qui et pour quelle raison.</w:t>
      </w:r>
    </w:p>
    <w:p>
      <w:r>
        <w:rPr>
          <w:b/>
        </w:rPr>
        <w:t>E. 2.7</w:t>
      </w:r>
    </w:p>
    <w:p>
      <w:r>
        <w:t>Il est constaté que le recourant ne conteste pas les risques de fuite et de collusion retenus par le Tmc. Il ne remet pas non plus en cause la proportionnalité de la décision attaquée.</w:t>
      </w:r>
    </w:p>
    <w:p>
      <w:r>
        <w:rPr>
          <w:b/>
        </w:rPr>
        <w:t>E. 2.8</w:t>
      </w:r>
    </w:p>
    <w:p>
      <w:r>
        <w:t>Il s’ensuit le rejet du recours et la confirmation de l’ordonnance attaquée.</w:t>
      </w:r>
    </w:p>
    <w:p>
      <w:r>
        <w:t>Tribunal cantonal TC Page 5 de 5</w:t>
      </w:r>
    </w:p>
    <w:p>
      <w:r>
        <w:rPr>
          <w:b/>
        </w:rPr>
        <w:t>E. 3.1</w:t>
      </w:r>
    </w:p>
    <w:p>
      <w:r>
        <w:t>La Chambre arrête elle-même l’indemnité du défenseur d’office pour la procédure de recours selon l’art. 57 al. 1 et 2 RJ (RFJ 2015 73). En l’espèce, une équitable indemnité de CHF 800.-, plus TVA, a été requise, montant qui apparaît approprié pour la rédaction du recours et des ultimes observations, l’examen des déterminations et du présent arrêt, y compris son explication au client. L’indemnité sera dès lors fixée à CHF 800.-, débours compris mais TVA (8.1 %) par CHF 64.80 en sus (cf. art. 56 ss RJ).</w:t>
      </w:r>
    </w:p>
    <w:p>
      <w:r>
        <w:rPr>
          <w:b/>
        </w:rPr>
        <w:t>E. 3.2</w:t>
      </w:r>
    </w:p>
    <w:p>
      <w:r>
        <w:t>Les frais de la procédure de recours, arrêtés à CHF 1'464.80 (émolument : CHF 500.-; débours : CHF 100.-; frais de défense d’office : CHF 864.80), sont mis à la charge du recourant qui succombe. Le remboursement à l'Etat de l'indemnité allouée au mandataire d’office ne sera exigible que lorsque la situation économique de A.________ le permettra (art. 135 al. 4 let. a CPP). la Chambre arrête : I. Le recours est rejeté. Partant, l’ordonnance du Tribunal des mesures de contrainte du 3 mai 2024 est confirmée. II. L’indemnité due à Me Alain Ribordy, défenseur d’office, pour la procédure de recours est arrêtée à CHF 800.-, TVA par CHF 64.80 en sus. III. Les frais de procédure, fixés à CHF 1'464.80 (émolument : CHF 500.-; débours : CHF 100.-; frais de défense d'office : CHF 864.80), sont mis à la charge de A.________. Le remboursement à l’Etat de l’indemnité allouée au chiffre II. ci-dessus sera exigible dès que la situation économique de A.________ le permettra. IV.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23 mai 2024/fpi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