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81 vom 9. Mai 2023</w:t>
      </w:r>
    </w:p>
    <w:p>
      <w:r>
        <w:t>FR Kantonsgericht, 2023-05-09, DE</w:t>
      </w:r>
    </w:p>
    <w:p>
      <w:r>
        <w:rPr>
          <w:b/>
        </w:rPr>
        <w:t xml:space="preserve">Quelle: </w:t>
      </w:r>
      <w:r>
        <w:t>https://mcp.opencaselaw.ch/entscheid/fr_gerichte_502_2023_81</w:t>
      </w:r>
    </w:p>
    <w:p>
      <w:r>
        <w:t>FR: FR_GERICHTE 502 2023 81 du 9 mai 2023</w:t>
      </w:r>
    </w:p>
    <w:p>
      <w:r>
        <w:t>IT: FR_GERICHTE 502 2023 81 del 9 maggio 2023</w:t>
      </w:r>
    </w:p>
    <w:p>
      <w:pPr>
        <w:pStyle w:val="Heading2"/>
      </w:pPr>
      <w:r>
        <w:t>Regeste</w:t>
      </w:r>
    </w:p>
    <w:p>
      <w:r>
        <w:t>Urteil der Strafkammer des Kantonsgerichts | Strafrecht</w:t>
      </w:r>
    </w:p>
    <w:p>
      <w:pPr>
        <w:pStyle w:val="Heading2"/>
      </w:pPr>
      <w:r>
        <w:t>Volltext</w:t>
      </w:r>
    </w:p>
    <w:p>
      <w:r>
        <w:t>Tribunal cantonal TC Kantonsgericht KG Augustinergasse 3, Postfach 630, 1701 Freiburg T +41 26 304 15 00 www.fr.ch/tc — Pouvoir Judiciaire PJ Gerichtsbehörden GB 502 2023 81 Urteil vom 9. Mai 2023 Strafkammer Besetzung Präsident: Laurent Schneuwly Richter: Jérôme Delabays, Sandra Wohlhauser Gerichtsschreiberin- Berichterstatterin: Silvia Gerber Parteien A.________, Beschwerdeführerin, gegen JUGENDRICHTER, Beschwerdegegner Gegenstand Jugendstrafrecht – Sistierung des Verfahrens (Art. 314 StPO) Beschwerde vom 17. April 2023 gegen die Verfügung des Jugend- richters vom 11. April 2023 Kantonsgericht KG Seite 2 von 3 erwägend, dass A.________ am 12. Mai 2022 für ihren Sohn B.________ einen Strafantrag gegen Unbekannt wegen einfacher Körperverletzung, begangen am 10. Mai 2022, zwischen 9 Uhr und 10 Uhr, hinter dem Primarschulhaus in C.________, einreichte; dass sie zudem gleichentags einen Strafantrag gegen Unbekannt, respektive gegen die Lehrperson einreichte, welche zur Tatzeit Pausenaufsicht hatte, wegen Verletzung der Fürsorgepflicht; dass die Kantonspolizei am 9. Dezember 2022 einen Anzeigerapport gegen Unbekannt wegen einfacher Körperverletzung und Verletzung der Fürsorgepflicht verfasste; dieser Rapport ging an die Staatsanwaltschaft und an das Jugendgericht; dass der Jugendrichter mit Verfügung vom 11. April 2023 das Verfahren wegen einfacher Körper- verletzung sistierte, da die Täterschaft unbekannt sei und somit ein Verfahrenshindernis bestehe (Art. 314 Abs. 1 Bst. a StGB); er hielt überdies fest, dass die Untersuchung wegen Verletzung der Fürsorgepflicht in die Zuständigkeit der Staatsanwaltschaft falle; dass A.________ gegen diese Verfügung am 17. April 2023 (Postaufgabe) Beschwerde erhob; dass die oder der urteilsfähige beschuldigte Jugendliche und die gesetzliche Vertretung zur Beschwerde legitimiert sind (vgl. Art. 19 Abs. 1 und 2 der Jugendstrafprozessordnung vom 20. März 2009 [JStPO; SR 312.1]); dass A.________ ausführt, dass der Schulleiter die Pausensituation bisher nicht verbessert habe, die Lehrpersonen weiterhin die Aufsichtspflicht verletzen würden und ganz klar gegen das Schulge- setz verstossen werde; dass sie sich damit nicht mit der Sistierungsverfügung des Jugendrichters auseinandersetzt, so dass nicht auf die Beschwerde eingetreten werden kann; dass A.________ darauf hingewiesen wird, dass der Jugendrichter und das Jugendgericht einzig für die Verfolgung und Beurteilung der Straftaten, die von Jugendlichen im Sinne von Art. 3 Abs. 1 des Jugendstrafgesetzes vom 20. Juni 2003 (JStG; SR 311.1) verübt worden sind, sowie für den Vollzug der gegen sie verhängten Sanktionen zuständig sind (Art. 1 JStPO); sie sind somit weder für die Verfolgung von erwachsenen Personen noch für die Einhaltung des Schulgesetzes zuständig; A.________ kann sich bezüglich ihres Strafantrages wegen Verletzung der Fürsorgepflicht an die Staatsanwaltschaft wenden (Liebfrauenplatz 4, Postfach, 1701 Freiburg); dass ausnahmsweise keine Kosten erhoben werden; (Dispositiv auf der nächsten Seite) Kantonsgericht KG Seite 3 von 3 Die Kammer erkennt: I. Auf die Beschwerde wird nicht eingetreten. II. Es werden keine Kosten erhoben. III.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9. Mai 2023/swo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