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6 vom 22. Februar 2023</w:t>
      </w:r>
    </w:p>
    <w:p>
      <w:r>
        <w:t>FR Kantonsgericht, 2023-02-22, FR</w:t>
      </w:r>
    </w:p>
    <w:p>
      <w:r>
        <w:rPr>
          <w:b/>
        </w:rPr>
        <w:t xml:space="preserve">Quelle: </w:t>
      </w:r>
      <w:r>
        <w:t>https://mcp.opencaselaw.ch/entscheid/fr_gerichte_502_2023_6</w:t>
      </w:r>
    </w:p>
    <w:p>
      <w:r>
        <w:t>FR: FR_GERICHTE 502 2023 6 du 22 février 2023</w:t>
      </w:r>
    </w:p>
    <w:p>
      <w:r>
        <w:t>IT: FR_GERICHTE 502 2023 6 del 22 febbraio 2023</w:t>
      </w:r>
    </w:p>
    <w:p>
      <w:pPr>
        <w:pStyle w:val="Heading2"/>
      </w:pPr>
      <w:r>
        <w:t>Regeste</w:t>
      </w:r>
    </w:p>
    <w:p>
      <w:r>
        <w:t>Arrêt de la Chambre pénale du Tribunal cantonal | Strafrecht</w:t>
      </w:r>
    </w:p>
    <w:p>
      <w:pPr>
        <w:pStyle w:val="Heading2"/>
      </w:pPr>
      <w:r>
        <w:t>Erwägungen</w:t>
      </w:r>
    </w:p>
    <w:p>
      <w:r>
        <w:rPr>
          <w:b/>
        </w:rPr>
        <w:t>E. 3</w:t>
      </w:r>
    </w:p>
    <w:p>
      <w:r>
        <w:t>Les frais judiciaires, par CHF 200.- (émolument : CHF 150.-; débours : CHF 50.-), sont mis à la charge de A.________ (art. 428 al. 1 CPP). Aucune indemnité de partie n’est allouée.</w:t>
      </w:r>
    </w:p>
    <w:p>
      <w:r>
        <w:t>Tribunal cantonal TC Page 5 de 5 la Chambre arrête : I. Le recours est rejeté. II. Les frais de la procédure de recours, arrêtés à CHF 200.- (émolument : CHF 150.-; débours :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22 février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