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49 vom 28. April 2023</w:t>
      </w:r>
    </w:p>
    <w:p>
      <w:r>
        <w:t>FR Kantonsgericht, 2023-04-28, DE</w:t>
      </w:r>
    </w:p>
    <w:p>
      <w:r>
        <w:rPr>
          <w:b/>
        </w:rPr>
        <w:t xml:space="preserve">Quelle: </w:t>
      </w:r>
      <w:r>
        <w:t>https://mcp.opencaselaw.ch/entscheid/fr_gerichte_502_2023_49</w:t>
      </w:r>
    </w:p>
    <w:p>
      <w:r>
        <w:t>FR: FR_GERICHTE 502 2023 49 du 28 avril 2023</w:t>
      </w:r>
    </w:p>
    <w:p>
      <w:r>
        <w:t>IT: FR_GERICHTE 502 2023 49 del 28 aprile 2023</w:t>
      </w:r>
    </w:p>
    <w:p>
      <w:pPr>
        <w:pStyle w:val="Heading2"/>
      </w:pPr>
      <w:r>
        <w:t>Regeste</w:t>
      </w:r>
    </w:p>
    <w:p>
      <w:r>
        <w:t>Arrêt de la Chambre pénale du Tribunal cantonal | Beschlagnahme (Art. 263 – 268 StPO)</w:t>
      </w:r>
    </w:p>
    <w:p>
      <w:pPr>
        <w:pStyle w:val="Heading2"/>
      </w:pPr>
      <w:r>
        <w:t>Erwägungen</w:t>
      </w:r>
    </w:p>
    <w:p>
      <w:r>
        <w:rPr>
          <w:b/>
        </w:rPr>
        <w:t>E. 1.1</w:t>
      </w:r>
    </w:p>
    <w:p>
      <w:r>
        <w:t>Aux termes de l’art. 393 al. 1 let. a CPP, le recours est recevable contre les décisions et actes de procédure du ministère public, parmi lesquels figurent les ordonnances de séquestre rendues par ce dernier (art. 263 CPP), respectivement les ordonnances refusant la levée du séquestre. Le recours s’exerce auprès de l’autorité de recours (art. 20 al. 1 let. b CPP), soit la Chambre pénale (art. 85 al. 1 de la loi sur la justice [LJ ; RSF 130.1]).</w:t>
      </w:r>
    </w:p>
    <w:p>
      <w:r>
        <w:rPr>
          <w:b/>
        </w:rPr>
        <w:t>E. 1.2</w:t>
      </w:r>
    </w:p>
    <w:p>
      <w:r>
        <w:t>Le recours doit être adressé, par écrit, dans un délai de dix jours dès la notification de la décision attaquée (art. 384 let. b, 396 al. 1 CPP). En l’espèce, l’ordonnance a été notifiée le 17 février 2023, de sorte que le recours interjeté le 27 février 2023 l’a été en temps utile.</w:t>
      </w:r>
    </w:p>
    <w:p>
      <w:r>
        <w:rPr>
          <w:b/>
        </w:rPr>
        <w:t>E. 1.3.1</w:t>
      </w:r>
    </w:p>
    <w:p>
      <w:r>
        <w:t>Selon l’art. 382 al 1 CPP, toute partie qui a un intérêt juridiquement protégé à l’annulation ou à la modification d’une décision a qualité pour recourir contre celle-ci. L’intérêt doit être juridique et direct, le but étant de permettre aux tribunaux de ne trancher que des questions concrètes et de ne pas prendre des décisions uniquement théoriques. Le recours d’une partie qui n’est pas concrètement lésée par la décision est irrecevable (arrêt TF 1B_438/2016 du 14 mars 2017 consid. 2.1). Selon la jurisprudence constante, un intérêt juridiquement protégé est ainsi reconnu à celui qui jouit sur les valeurs saisies ou confisquées d’un droit de propriété ou d’un droit réel limité (arrêt TC/FR 502 2019 279 du 3 septembre 2020 consid. 1.3 et les références citées).</w:t>
      </w:r>
    </w:p>
    <w:p>
      <w:r>
        <w:rPr>
          <w:b/>
        </w:rPr>
        <w:t>E. 1.3.2</w:t>
      </w:r>
    </w:p>
    <w:p>
      <w:r>
        <w:t>En l’espèce, dans le cadre de la perquisition effectuée au domicile de la recourante et de son époux le 2 novembre 2022, le montant de CHF 14'775.- en monnaie a été séquestré et versé sur le compte bancaire du Ministère public. Cet objet a été référencé en poste 63 dans le procès-verbal de perquisition et de mise en sûreté provisoire établi à l’encontre de B.________ (cf. DO/2098). La recourante, se référant expressément audit poste (cf. recours ch. 1 p. 4), prétend être titulaire du montant de CHF 14'000.- (recours ch. V p. 2), montant qu’elle aurait retiré sur son compte AVS. Il ressort cependant des déterminations du Ministère public que le montant de CHF 14'775.- découvert par la police se trouvait dans 15 bocaux en verre de type Nescafé ou pot de confiture munis d’étiquettes indiquant des années, alors que la recourante, lors de son prélèvement en espèces du 19 octobre 2022 au guichet de la banque, s’est vue remettre 14 billets de CHF 1'000.- (déterminations du Ministère public du 15 mars 2023 p. 2 et les pièces y annexées). Sur le vu de ce qui précède et considérant en outre que les montants en question ne correspondent pas tout à fait, la Chambre pénale constate que le montant de CHF 14'775.- découvert par la police n’est pas celui que la recourante a retiré sur son compte bancaire le 19 octobre 2022. Dans ces conditions, il n’est pas démontré qu’elle était bien propriétaire de ces pièces de monnaie, ou du moins copropriétaire de celles-ci avec son époux.</w:t>
      </w:r>
    </w:p>
    <w:p>
      <w:r>
        <w:rPr>
          <w:b/>
        </w:rPr>
        <w:t>E. 1.3.3</w:t>
      </w:r>
    </w:p>
    <w:p>
      <w:r>
        <w:t>La question de la qualité pour recourir de la recourante peut cependant rester ouverte, le recours devant de toute façon être rejeté.</w:t>
      </w:r>
    </w:p>
    <w:p>
      <w:r>
        <w:rPr>
          <w:b/>
        </w:rPr>
        <w:t>E. 1.4</w:t>
      </w:r>
    </w:p>
    <w:p>
      <w:r>
        <w:t>Le recours est motivé et doté de conclusions (art. 385 al. 1 et 396 al. 1 CPP). Tribunal cantonal TC Page 4 de 7</w:t>
      </w:r>
    </w:p>
    <w:p>
      <w:r>
        <w:rPr>
          <w:b/>
        </w:rPr>
        <w:t>E. 1.5</w:t>
      </w:r>
    </w:p>
    <w:p>
      <w:r>
        <w:t>La Chambre pénale, qui dispose d’une entière cognition (art. 393 al. 2 CPP), statue sans débats (art. 397 al. 1 CPP). Les novas sont recevables (ATF 141 IV 396 consid. 4.4.).</w:t>
      </w:r>
    </w:p>
    <w:p>
      <w:r>
        <w:rPr>
          <w:b/>
        </w:rPr>
        <w:t>E. 2</w:t>
      </w:r>
    </w:p>
    <w:p>
      <w:r>
        <w:t>novembre 2022, proviennent de son compte AVS. La recourante, ayant plusieurs commerces à gérer, doit payer de grosses charges, si bien qu’il n’est pas insoutenable qu’elle ait prélevé dit montant en liquide afin de pouvoir s’acquitter de ses factures.</w:t>
      </w:r>
    </w:p>
    <w:p>
      <w:r>
        <w:rPr>
          <w:b/>
        </w:rPr>
        <w:t>E. 2.1</w:t>
      </w:r>
    </w:p>
    <w:p>
      <w:r>
        <w:t>L'art. 197 al. 1 CPP prévoit que les mesures de contrainte ne peuvent être ordonnées que lorsqu’elles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A teneur de l’art. 263 al. 1 CPP, des objets et des valeurs patrimoniales appartenant au prévenu ou à des tiers peuvent être mis sous séquestre, lorsqu’il est probable qu’ils seront utilisés comme moyens de preuves (let. a ; séquestre probatoire), qu’ils seront utilisés pour garantir le paiement des frais de procédure, des peines pécuniaires, des amendes et des indemnités (let. b ; séquestre en couverture des frais), qu’ils devront être restitués au lésé (let. c ; séquestre en vue de restitution au lésé) ou qu’ils devront être confisqués (let. d ; séquestre conservatoire). A ces types de séquestre s’ajoute encore le séquestre de biens pour garantir le recouvrement d’une créance compensatrice, lequel est prévu par l’art. 71 al. 3 CP.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et les références citées). En outre, tant que subsiste un doute sur la part des fonds qui pourrait provenir d’une activité criminelle, l’intérêt public commande qu’ils demeurent dans leur intégralité à la disposition de la justice, pour autant qu’ils restent en rapport avec le produit de l’activité poursuivie (CR CPP-JULEN BERTHOD, 2e éd. 2019, art. 263 n. 27 et les références citées). Selon la systématique du CPP, seul le séquestre en couverture des frais impose de prendre en compte le revenu et la fortune du prévenu (art. 268 al. 2 CPP) et d'exclure du séquestre les valeurs insaisissables selon les art. 92-94 LP (art. 268 al. 3 CPP). Un tel examen s'impose car cette mesure tend exclusivement à la sauvegarde des intérêts publics, soit à garantir le recouvrement de la future dette de droit public du prévenu. Elle peut, de plus, porter sur tous les biens et valeurs du prévenu, même ceux qui n'ont pas de lien de connexité avec l'infraction. Il se justifie donc, sous l'angle du Tribunal cantonal TC Page 5 de 7 principe de proportionnalité (art. 197 al. 1 let. c et d CPP), de respecter le minimum vital de la personne touchée par ce type de séquestre. Le respect du minimum vital est aussi la conséquence du droit fondamental à des conditions minimales d'existence ancré à l'art. 12 Cst., droit qui garantit la couverture des besoins élémentaires pour survivre d'une manière conforme aux exigences de la dignité humaine, tels que la nourriture, le logement, l'habillement et les soins médicaux de base (ATF 141 IV 360 précité consid. 3.1 et les références citées). Dans cette dernière affaire, notre Haute Cour a considéré que, lorsque le séquestre en garantie d’une créance compensatrice porte sur la totalité des revenus, la situation est assimilable à une saisie sur salaire du droit des pousuites, si bien qu’au regard du principe de proportionnalité, l’autorité pénale doit, déjà au stade du séquestre, tenir compte de l’éventuelle atteinte au minimum vital du prévenu (ATF 141 IV 360 précité consid. 3.4 et les références citées).</w:t>
      </w:r>
    </w:p>
    <w:p>
      <w:r>
        <w:rPr>
          <w:b/>
        </w:rPr>
        <w:t>E. 2.2</w:t>
      </w:r>
    </w:p>
    <w:p>
      <w:r>
        <w:t>En l’espèce, il ressort du dossier qu’une instruction pénale a été ouverte notamment contre la recourante pour les chefs de prévention de banqueroute frauduleuse et fraude dans la saisie (art. 163 CP), diminution effective de l’actif au préjudice des créanciers (art. 164 CP), gestion fautive (art. 165 CP) et gestion déloyale (art. 158 CP). La recourante ne contestant pas l’existence de soupçons suffisants à son encontre, cette condition ne sera pas examinée. Après que la faillite de son époux a été prononcée, un tableau de distribution a été établi par l’Office des faillites. Celui-ci fait état d’une perte totale de CHF 1'222’789.70.</w:t>
      </w:r>
    </w:p>
    <w:p>
      <w:r>
        <w:rPr>
          <w:b/>
        </w:rPr>
        <w:t>E. 2.2.1</w:t>
      </w:r>
    </w:p>
    <w:p>
      <w:r>
        <w:t>L’art. 163 CP tend à protéger d’une part, le patrimoine des créanciers et, d’autre part, l’exécution forcée elle-même, en tant que moyen d’assurer le respect des droits de ces derniers. En matière d’infractions dans la faillite, les valeurs patrimoniales qui auraient dû tomber dans la masse en faillite dès l’ouverture de celle-ci doivent être restituées à l’office des faillites en rétablissement de la situation légale. La restitution au lésé selon l’art. 70 al. 1 in fine CP a la priorité sur une éventuelle confiscation et l’allocation ultérieure au lésé en réparation du dommage subi (arrêt TF 6B_122/2017 du 8 janvier 2019 consid. 5.2 et 18.3 et les références citées).</w:t>
      </w:r>
    </w:p>
    <w:p>
      <w:r>
        <w:rPr>
          <w:b/>
        </w:rPr>
        <w:t>E. 2.2.2</w:t>
      </w:r>
    </w:p>
    <w:p>
      <w:r>
        <w:t>La Chambre pénale relève que le montant litigieux a été retrouvé, en monnaie, dans 15 bocaux en verre de type Nescafé ou pot de confiture. Or, il ressort de la pièce produite par l’autorité intimée dans le cadre de ses déterminations que, le 19 octobre 2022, la banque a remis à la recourante 14 billets de CHF 1'000.-. Il ne fait ainsi aucun doute que l’argent retrouvé par la police au domicilie de la recourante et de son époux ne provenait pas du compte AVS de celle-ci – ce d’autant plus que les montants ne sont pas identiques, le montant retrouvé par la police étant de CHF 775.- supérieur à celui prélevé par la recourante sur son compte AVS. Force est ainsi de constater que le montant de CHF 14'000.- litigieux n’était pas insaisissable. Au demeurant, si le séquestre litigieux lésait véritablement ses conditions minimales d’existence, on doute que la recourante aurait laissé s’écouler plus de trois mois avant de requérir la levée du séquestre sur ce montant, étant précisé que la perquisition a été effectuée le 2 novembre 2022 et que la demande de levée du séquestre a été formulée le 14 février 2023.</w:t>
      </w:r>
    </w:p>
    <w:p>
      <w:r>
        <w:rPr>
          <w:b/>
        </w:rPr>
        <w:t>E. 3</w:t>
      </w:r>
    </w:p>
    <w:p>
      <w:r>
        <w:t>Bien qu’elle ne soulève pas ce grief expressément, la recourante semble reprocher au Ministère public d’avoir violé le principe de la proportionnalité, dès lors que l’ensemble des autres biens et valeurs patrimoniales séquestrés suffisent amplement à couvrir la créance du plaignant (recours ch. 4 et 7). Tribunal cantonal TC Page 6 de 7</w:t>
      </w:r>
    </w:p>
    <w:p>
      <w:r>
        <w:rPr>
          <w:b/>
        </w:rPr>
        <w:t>E. 3.1</w:t>
      </w:r>
    </w:p>
    <w:p>
      <w:r>
        <w:t>Pour que le séquestre soit conforme au principe de proportionnalité (cf. art. 197 al. 1 let. c et d CPP), il faut qu'il soit apte à produire les résultats escomptés (règle de l’aptitude), ces derniers ne pouvant pas être atteints par une mesure moins incisive (règle de la nécessité) (CR CPP-JULEN BERTHOD, art. 263 n. 23). En outre, le principe de la proportionnalité interdit toute limitation allant au- delà du but visé et il exige un rapport raisonnable entre celui-ci et les intérêts publics ou privés compromis (principe de la proportionnalité au sens étroit ; arrêt TF 1B_127/2013 du 1er mai 2013 consid. 3.1). La mesure conservatoire est proportionnée lorsqu'elle porte sur des avoirs dont on peut admettre en particulier qu'ils pourront être vraisemblablement confisqués ou restitués en application du droit pénal. Tant que l'instruction n'est pas achevée et que subsiste une possibilité de confiscation, de créance compensatrice ou d'une allocation au lésé, la mesure conservatoire doit être maintenue (ATF 141 IV 360 précité consid. 3.2 et les références citées).</w:t>
      </w:r>
    </w:p>
    <w:p>
      <w:r>
        <w:rPr>
          <w:b/>
        </w:rPr>
        <w:t>E. 3.2</w:t>
      </w:r>
    </w:p>
    <w:p>
      <w:r>
        <w:t>En l’espèce, la recourante semble perdre de vue que l’infraction de l’art. 163 CP tend à protéger le patrimoine de l’ensemble des créanciers, et non pas celui de C.________ uniquement. Ainsi, c’est le montant de CHF 1'222'789.70 qui a possiblement été soustrait aux créanciers et qui pourrait devoir faire l’objet d’une créance compensatrice (avec éventuellement allocation au lésé au sens de l’art. 73 CP), et non pas seulement celui de CHF 375'689.95 représentant la perte de C.________. Le principe de la proportionnalité n’a dès lors pas été violé en l’espèce.</w:t>
      </w:r>
    </w:p>
    <w:p>
      <w:r>
        <w:rPr>
          <w:b/>
        </w:rPr>
        <w:t>E. 4</w:t>
      </w:r>
    </w:p>
    <w:p>
      <w:r>
        <w:t>Au vu de ce qui précède, le refus du Ministère public de lever le séquestre sur le montant de CHF 14'775.- ne prête pas le flanc à la critique. Le recours doit ainsi être rejeté, pour autant que recevable, et l’ordonnance querellée confirmée.</w:t>
      </w:r>
    </w:p>
    <w:p>
      <w:r>
        <w:rPr>
          <w:b/>
        </w:rPr>
        <w:t>E. 5</w:t>
      </w:r>
    </w:p>
    <w:p>
      <w:r>
        <w:t>La Chambre pénale arrête elle-même l’indemnité du défenseur d’office pour la procédure de recours selon l’art. 57 al. 1 et 2 RJ (RFJ 2015 73). En l’espèce, pour la rédaction du mémoire de recours de</w:t>
      </w:r>
    </w:p>
    <w:p>
      <w:r>
        <w:rPr>
          <w:b/>
        </w:rPr>
        <w:t>E. 7</w:t>
      </w:r>
    </w:p>
    <w:p>
      <w:r>
        <w:t>pages, pour l’examen des déterminations du Ministère public ainsi que pour la prise de connaissance du présent arrêt, avec explications à la cliente, le temps y relatif peut être estimé au vu du dossier à environ 5 heures de travail, avec les débours. L’indemnité sera dès lors fixée à CHF 950.-, TVA (7.7 %) par CHF 73.15 en sus (cf. art. 56 ss du Règlement sur la justice [RJ ; RSF 130.11]). 6. Au vu de l’issue du recours, les frais de procédure, fixés à CHF 1'623.15 (émolument : CHF 500.- ; débours : CHF 100.- ; frais de défense d’office : CHF 1'023.15), sont mis à la charge de la recourante qui succombe (art. 428 al. 1 CPP). Le remboursement à l’Etat de l’indemnité allouée au consid. 5 sera exigible dès que la situation économique de la recourante le permettra. Tribunal cantonal TC Page 7 de 7 la Chambre arrête : I. Le recours est rejeté, pour autant que recevable. Partant, l’ordonnance du Ministère public du 16 février 2023 est confirmée. II. L’indemnité due pour la procédure de recours à Me Christian Delaloye, défenseur d’office, est fixée à CHF 1'023.15, TVA par CHF 73.15 incluse. III. Les frais de la procédure de recours, par CHF 1'623.15 (émolument : CHF 500.- ; débours : CHF 100.- ; frais de défense d’office : CHF 1'023.15),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avril 2023/fma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