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47 vom 8. März 2023</w:t>
      </w:r>
    </w:p>
    <w:p>
      <w:r>
        <w:t>FR Kantonsgericht, 2023-03-08, FR</w:t>
      </w:r>
    </w:p>
    <w:p>
      <w:r>
        <w:rPr>
          <w:b/>
        </w:rPr>
        <w:t xml:space="preserve">Quelle: </w:t>
      </w:r>
      <w:r>
        <w:t>https://mcp.opencaselaw.ch/entscheid/fr_gerichte_502_2023_47</w:t>
      </w:r>
    </w:p>
    <w:p>
      <w:r>
        <w:t>FR: FR_GERICHTE 502 2023 47 du 8 mars 2023</w:t>
      </w:r>
    </w:p>
    <w:p>
      <w:r>
        <w:t>IT: FR_GERICHTE 502 2023 47 del 8 marzo 2023</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1.2</w:t>
      </w:r>
    </w:p>
    <w:p>
      <w:r>
        <w:t>Le recours fait l'objet d'une procédure écrite (art. 397 al. 1 CPP).</w:t>
      </w:r>
    </w:p>
    <w:p>
      <w:r>
        <w:t>Tribunal cantonal TC Page 3 de 8</w:t>
      </w:r>
    </w:p>
    <w:p>
      <w:r>
        <w:rPr>
          <w:b/>
        </w:rPr>
        <w:t>E. 2.1</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w:t>
      </w:r>
    </w:p>
    <w:p>
      <w:r>
        <w:rPr>
          <w:b/>
        </w:rPr>
        <w:t>E. 2.2</w:t>
      </w:r>
    </w:p>
    <w:p>
      <w:r>
        <w:t>En l'occurrence, le recourant remet en question tant l’existence de forts soupçons de culpabilité que celle des risques de collusion et de réitération. Subsidiairement, il réclame des mesures de substitution.</w:t>
      </w:r>
    </w:p>
    <w:p>
      <w:r>
        <w:rPr>
          <w:b/>
        </w:rPr>
        <w:t>E. 3.1</w:t>
      </w:r>
    </w:p>
    <w:p>
      <w:r>
        <w:t>Préalablement à l'examen des hypothèses de l'art. 221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 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(MOREILLON/PAREIN-REYMOND, PC CPP, 2e éd. 2016, art. 221 n. 10 et les réf. citées).</w:t>
      </w:r>
    </w:p>
    <w:p>
      <w:r>
        <w:rPr>
          <w:b/>
        </w:rPr>
        <w:t>E. 3.2</w:t>
      </w:r>
    </w:p>
    <w:p>
      <w:r>
        <w:t>Après avoir fait état des déclarations des diverses personnes interrogées, en particulier de E.________ et du recourant, le Tmc a retenu en particulier ce qui suit : « considérant (…) notamment les déclarations à charge de E.________, précises et détaillées, qui concordent sur certains faits, confirmés par le prévenu (notamment le fait qu'il ne consomme pas d'héroïne, et qu'il se fournit à Berne et consomme de la cocaïne avec F.________, éléments que A.________ admet), tenant compte que le prévenu connaît les protagonistes du trafic et fréquente G.________, un des lieux de vente du trafic, du fait qu'il est consommateur de cocaïne, sans avoir de travail en ce moment, qu'il se fournit à Berne, et admet l'avoir fait avec F.________, les soupçons qui pèsent sur le prévenu, constitutifs de cas grave de la LStup, apparaissent suffisamment forts au sens de l’art. 221 al.1 CPP » (cf. ordonnance attaquée, p. 6).</w:t>
      </w:r>
    </w:p>
    <w:p>
      <w:r>
        <w:rPr>
          <w:b/>
        </w:rPr>
        <w:t>E. 3.3</w:t>
      </w:r>
    </w:p>
    <w:p>
      <w:r>
        <w:t>Le recourant ne partage pas cette appréciation et soutient pour l’essentiel que la seule et unique déclaration à charge, soit celle de E.________, est boiteuse et peu crédible, contrairement à ses propres déclarations. Par ailleurs, des contrôles téléphoniques semblent avoir été réalisés, mais aucun résultat n'a été versé au dossier qui permette de l'incriminer. La perquisition à son</w:t>
      </w:r>
    </w:p>
    <w:p>
      <w:r>
        <w:t>Tribunal cantonal TC Page 4 de 8 domicile n'a rien donné non plus et toutes les autres déclarations versées au dossier sont à décharge.</w:t>
      </w:r>
    </w:p>
    <w:p>
      <w:r>
        <w:rPr>
          <w:b/>
        </w:rPr>
        <w:t>E. 3.4</w:t>
      </w:r>
    </w:p>
    <w:p>
      <w:r>
        <w:t>Il ressort du dossier de la cause que la Police a interpellé E.________ le 13 février 2023. La perquisition réalisée dans son appartement a permis la découverte de 26 grammes bruts d'héroïne, de 464 grammes de haschisch, de deux balances de précision ainsi que d'un natel. Entendu par la Police le jour-même, E.________ a en particulier déclaré que, dès la mi-janvier 2023, le recourant est allé chercher, en compagnie de F.________, de l’héroïne pour la ramener à son [celui de H.________] domicile pour le compte de C.________ et I.________ (dit « J.________ »). Le recourant et F.________ auraient acheté, durant 4 semaines entre la mi-janvier 2023 et le 13 février 2023, probablement à Berne, un total de 240 à 300 grammes d'héroïne, pour le compte de C.________ et I.________, que ceux-ci auraient conditionnés puis revendus. Ainsi, l’héroïne découverte lors de la perquisition précitée aurait été amenée par le recourant deux jours avant (samedi). Selon H.________, le chef du trafic est C.________, qui dirige, gère l'argent et indique combien il faut acheter et vendre (« (…) A partir de mi-janvier 2023, c'est A.________, soit B.________, qui venait amener l'héroïne à mon domicile afin que J.________ et D.________ la préparent et aillent ensuite la vendre. (...) A.________ n'amenait que l'héroïne et pas le haschich. (…) J'aimerais préciser que A.________ allait acheter l'héroïne avec F.________. J’ai entendu qu’ils allaient acheter l’héroïne à Berne. Par contre, F.________ n'est jamais venu amener l'héroïne à mon domicile, c'est toujours et seulement A.________. Je sais que A.________ ne consomme ni l'héroïne, ni le haschich. Par contre, je sais qu'il consomme de la cocaïne avec F.________. Je sais aussi que A.________ gagnait CHF 150.- par transport d'héroïne. Il allait acheter et ramener également 20-25 g d'héroïne, deux à trois fois par semaine (…). Comme j’ai compris, il [A.________] va juste acheter et livrer C.________ et J.________. Lui-même n’a pas de petits clients (…). Dès qu'ils ont assez d'argent, il le donne à A.________ qui repart acheter. (…) »; cf. procès-verbal du 13 février 2023, lignes 86 ss, DO/non numéroté). Egalement le 13 février 2023, la Police a interpellé le recourant. La perquisition de son logement a permis la découverte d'un natel Samsung, d'une carte SlM, de plusieurs minigrips vides neufs, de plusieurs feuilles de conditionnement non utilisées, d'une cuillère brûlée contenant un résidu de poudre blanche, d'une boîte contenant un sachet de poudre blanche d'origine inconnue, d'un flacon de Tramadol, de 13 comprimés de Quétiapine et de 6 comprimés de Valdoxan. Entendu le même jour par la Police, puis par le Ministère public, le recourant a déclaré n'avoir plus travaillé depuis son dernier poste comme maçon, en novembre 2022, et vivre actuellement chez ses parents. Ses dettes s’élèveraient à environ CHF 120'000.- et il ferait l’objet d’une mesure de curatelle. Il a expliqué, s'agissant des objets séquestrés à son domicile, que le natel Samsung est un vieux téléphone qui ne fonctionne plus, que la carte SIM correspond à un ancien numéro qu'il n'utilise plus, qu'il détient les minigrips vides neufs depuis longtemps, qu'il n'a jamais mis de drogue à l'intérieur mais uniquement du bicarbonate, que les feuilles de conditionnement inutilisées sont des feuilles pour tirer la cocaïne qui ont été distribuées à G.________, que la cuillère retrouvée contient des résidus de bicarbonate, que la poudre blanche retrouvée est du bicarbonate et qu'il utilise les trois médicaments pour se soigner. Il a formellement contesté tout lien avec un trafic de stupéfiants, précisant qu’il ne consomme ni n’achète de l’héroïne. Si C.________ serait certes l’un de ses meilleurs amis, il ne sait pas si ce dernier vend des stupéfiants. Il a néanmoins admis s'être rendu à Berne pour aller chercher de la cocaïne afin de la consommer. Il prendrait en général par 2 grammes à CHF 140.- (cf. procès-verbaux des 13 février 2023, DO/non numéroté, DO/3003 ss). Par-devant le Tmc, le recourant a maintenu sa position, soit qu’il n’a aucun lien avec le trafic qui lui est reproché. Il allait commencer, le jour de son interpellation, un travail d'intérêt général. Il serait père d'un garçon de 8 ans, qu’il verrait tous les week-ends. Il consommerait de la cocaïne qu’il achète à Berne, mais</w:t>
      </w:r>
    </w:p>
    <w:p>
      <w:r>
        <w:t>Tribunal cantonal TC Page 5 de 8 il contrôlerait sa consommation. Il se rendrait régulièrement à G.________ pour boire des bières et voir ses amis. C.________ serait l’un de ses meilleurs amis et ils seraient « presque tout le temps ensemble ». Le samedi précédant l’interpellation, il se serait rendu à Berne avec F.________ pour se fournir en cocaïne. Il a enfin admis connaître I.________ et avoir « fumé de la cocaïne avec E.________ chez lui à son domicile ». En revanche, il ne ferait plus de business, comme il l’avait par le passé fait avec le cristal ou la cocaïne. Du reste, il ne ferait pas du transport pour CHF 150.- vu les risques encourus; par le passé, il aurait fait des transports pour CHF 500.- à CHF 1'000.- pour 50 à 100 grammes de drogue par transport (DO/6207 ss). Auditionnée par la Police le 13 février 2023, K.________ a déclaré avoir une relation avec C.________ depuis avril 2022. Elle consommerait occasionnellement de la cocaïne, de la MDMA et du cannabis. En ce qui concerne la cocaïne, elle l’aurait achetée trois fois par le biais du recourant, qui serait un pote qu’elle connaît depuis plus longtemps que C.________ (cf. procès-verbal du 13 février 2023, DO/non numéroté). De son côté, le recourant a admis avoir accompagné K.________, à Fribourg, pour trois achats d'un gramme, soit de trois grammes en tout, de cocaïne (DO/6210 verso). Quant à C.________, il nie toute implication dans un quelconque trafic d’héroïne, alors que plusieurs personnes, dont des clients, le chargent (H.________, L.________, M.________ ; cf. procès- verbaux d’audition des 13 février 2023 et 15 février 2023).</w:t>
      </w:r>
    </w:p>
    <w:p>
      <w:r>
        <w:rPr>
          <w:b/>
        </w:rPr>
        <w:t>E. 3.5</w:t>
      </w:r>
    </w:p>
    <w:p>
      <w:r>
        <w:t>Au vu de ce qui précède, la Chambre pénale estime que les éléments figurant pour l’heure au dossier permettent de mettre en cause de manière suffisamment précise, claire et importante le recourant, de sorte qu’il y a lieu d’admettre à ce stade que les soupçons pesant sur lui – soit qu’il a participé à un trafic d’héroïne – sont suffisamment forts et sérieux pour justifier une mise en détention. Les arguments développés par le recourant ne changent rien à ce constat. Il est en particulier relevé que l’instruction vient de débuter, le recourant ayant été interpellé il y a un peu plus de trois semaines seulement, de sorte qu’il n’est pas surprenant que le dossier ne contienne pas encore « beaucoup d’informations », notamment les résultats des surveillances téléphoniques ordonnées fin janvier/ début février 2023. On ne voit pas non plus en quoi les déclarations de H.________ seraient, à ce stade, moins crédibles que celles du recourant, tous deux niant être impliqués dans le trafic de drogue en question. En revanche, il ne fait guère de doute que ce trafic a bien eu lieu, en particulier à G.________, et que C.________ y participe activement, malgré ses dénégations. Or, C.________ est l’un des meilleurs amis du recourant, ils sont presque toujours ensemble. Malgré cela et le fait qu’il se trouve de son propre aveu régulièrement à G.________, le recourant soutient ne pas savoir si son ami s’adonne à un trafic de stupéfiants. On ne saurait dès lors retenir, en l’état, que les déclarations de H.________ sont plus douteuses ou moins crédibles que celles du recourant. Que ce dernier ait collaboré, par exemple en remettant ses codes de téléphone, n’y change rien. Enfin, on ne saurait suivre le recourant lorsqu’il soutient qu’il a repris sa vie en main, puisqu’il admet qu’il continue à consommer de la cocaïne, à côtoyer des personnes toxicomanes et à se rendre régulièrement à G.________ pour boire des bières et voir des amis. Il est enfin rappelé qu’il n'appartient pas au juge de la détention de procéder à une pesée complète des éléments à charge et à décharge et d'apprécier la crédibilité des personnes qui mettent en cause le prévenu, mais uniquement d’examiner s'il existe des indices sérieux de culpabilité justifiant une mise en détention, ce qui est le cas en l’occurrence au vu des déclarations à charge de E.________ et de la situation du recourant.</w:t>
      </w:r>
    </w:p>
    <w:p>
      <w:r>
        <w:t>Tribunal cantonal TC Page 6 de 8 En tant que le recourant conteste l'existence de « forts soupçons », le recours est ainsi mal fondé.</w:t>
      </w:r>
    </w:p>
    <w:p>
      <w:r>
        <w:rPr>
          <w:b/>
        </w:rPr>
        <w:t>E. 4.1</w:t>
      </w:r>
    </w:p>
    <w:p>
      <w:r>
        <w:t>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 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rPr>
          <w:b/>
        </w:rPr>
        <w:t>E. 4.2</w:t>
      </w:r>
    </w:p>
    <w:p>
      <w:r>
        <w:t>Dans l’ordonnance attaquée, le Tmc indique que le risque de collusion est réel et important à ce stade de l'enquête. Les déclarations du recourant et celles de H.________ divergeant, les explications de celui-là devront être vérifiées. Des investigations seront nécessaires afin d'établir avec exactitude l’ampleur des agissements délictueux. De nombreuses mesures d'enquête devront être opérées, telles que notamment l'analyse des téléphones portables (localisation et contacts) et cartes SlM. Des recherches de traces, ADN notamment, seront effectuées. Il sera procédé à la recherche et à l’identification des personnes impliquées dans ce trafic, éventuels clients, fournis- seurs et livreurs. L'enquête devra en particulier établir les liens exacts entre C.________, H.________, I.________ et le recourant. Des auditions seront diligentées, le prévenu sera réentendu, cas échéant en confrontation. De l’avis du Tmc, il convient d'éviter que ce dernier puisse interférer sur le bon déroulement des investigations, que ce soit en prenant contact avec C.________, H.________, I.________, F.________, K.________ ou d'autres protagonistes mêlés au trafic, ou en faisant disparaître des éléments probants pour l'enquête (cf. ordonnance attaquée, p. 6 s.).</w:t>
      </w:r>
    </w:p>
    <w:p>
      <w:r>
        <w:rPr>
          <w:b/>
        </w:rPr>
        <w:t>E. 4.3</w:t>
      </w:r>
    </w:p>
    <w:p>
      <w:r>
        <w:t>Dans son pourvoi, le recourant conteste l’existence d’un risque de collusion. Il relève qu’une seule déclaration au dossier le charge et qu’elle est peu crédible. De plus, il a parfaitement collaboré, livrant tous ses codes et faisant des déclarations exhaustives. On ne saurait considérer que les indices d'un risque de collusion sont concrets, dans ces circonstances. Le Tmc aurait ainsi établi les faits de manière erronée et ainsi violé le droit.</w:t>
      </w:r>
    </w:p>
    <w:p>
      <w:r>
        <w:rPr>
          <w:b/>
        </w:rPr>
        <w:t>E. 4.4</w:t>
      </w:r>
    </w:p>
    <w:p>
      <w:r>
        <w:t>Cette argumentation n’est pas convaincante. Le recourant est certes libre de nier son implication dans le trafic de drogue, mais ceci implique qu’il doit être réentendu par le Ministère</w:t>
      </w:r>
    </w:p>
    <w:p>
      <w:r>
        <w:t>Tribunal cantonal TC Page 7 de 8 public et confronté, en particulier à E.________ qui le charge. Or, il importe qu’il ne puisse pas interférer sur le bon déroulement de l’enquête, notamment en cherchant à entrer en contact avec H.________, mais également avec C.________, I.________ et F.________ ou avec des fournisseurs et autres personnes concernées. A cet égard, il est rappelé que les investigations viennent de débuter et il est nécessaire d’identifier et cas échéant d’entendre les contacts du recourant. De même, au vu de ses précédentes condamnations, on ne peut ignorer les enjeux de cette nouvelle instruction pénale pour le recourant, de sorte qu’il est pour le moins peu probable qu’il attende les auditions et confrontations à venir sans réagir.</w:t>
      </w:r>
    </w:p>
    <w:p>
      <w:r>
        <w:rPr>
          <w:b/>
        </w:rPr>
        <w:t>E. 4.5</w:t>
      </w:r>
    </w:p>
    <w:p>
      <w:r>
        <w:t>En tant que le recourant conteste l'existence d’un risque de collusion, le recours est ainsi mal fondé. Dans ces conditions, il n’est pas nécessaire d’examiner plus avant le risque de réitération à ce stade.</w:t>
      </w:r>
    </w:p>
    <w:p>
      <w:r>
        <w:rPr>
          <w:b/>
        </w:rPr>
        <w:t>E. 5.1</w:t>
      </w:r>
    </w:p>
    <w:p>
      <w:r>
        <w:t>L'art. 237 al. 1 CPP prévoit que le tribunal compétent ordonne une ou plusieurs mesures moins sévères en lieu et place de la détention provisoire si ces mesures permettent d'atteindre le même but que la détention.</w:t>
      </w:r>
    </w:p>
    <w:p>
      <w:r>
        <w:rPr>
          <w:b/>
        </w:rPr>
        <w:t>E. 5.2</w:t>
      </w:r>
    </w:p>
    <w:p>
      <w:r>
        <w:t>La première juge a retenu qu’aucune mesure de substitution ne permettrait, à ce stade de la procédure, d'écarter les risques retenus (cf. ordonnance attaquée, p. 8). De son côté, s’il réclame certes de telles mesures, le recourant n’indique pas lesquelles pourraient pallier le risque de collusion retenu ici. Or, en l’occurrence, on ne voit pas quelle(s) mesure(s) de substitution serai(en)t à même d’éviter que le recourant n’interfère sur le bon déroulement de l’enquête. C’est donc à juste titre que le Tmc n’a pas ordonné de telles mesures en lieu et place de la détention. On relèvera encore que le recourant ne prétend pas, avec raison, que la durée de détention de deux mois est disproportionnée au vu de la peine qu’il risque concrètement.</w:t>
      </w:r>
    </w:p>
    <w:p>
      <w:r>
        <w:rPr>
          <w:b/>
        </w:rPr>
        <w:t>E. 6</w:t>
      </w:r>
    </w:p>
    <w:p>
      <w:r>
        <w:t>Au vu de ce qui précède, la Chambre pénale constate que le Tmc n’a pas établi les faits de manière erronée et n’a pas violé le droit; par ailleurs, la décision querellée n’est pas inopportune. Il s’ensuit le rejet du recours et la confirmation de l’ordonnance du 16 février 2023. Il est précisé que le recourant peut en tout temps déposer une demande de libération (art. 228 al. 1 CPP) s'il estime que de nouvelles circonstances justifient sa mise en liberté.</w:t>
      </w:r>
    </w:p>
    <w:p>
      <w:r>
        <w:rPr>
          <w:b/>
        </w:rPr>
        <w:t>E. 7.1</w:t>
      </w:r>
    </w:p>
    <w:p>
      <w:r>
        <w:t>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y relatif peut être estimé, au vu du dossier, à environ 5 heures de travail, au tarif- horaire de CHF 180.-. Avec quelques autres petites opérations et les débours, l’indemnité sera dès lors fixée à CHF 1’000.-, débours compris mais TVA (7.7 %) par CHF 77.- en sus (cf. art. 56 ss RJ).</w:t>
      </w:r>
    </w:p>
    <w:p>
      <w:r>
        <w:rPr>
          <w:b/>
        </w:rPr>
        <w:t>E. 7.2</w:t>
      </w:r>
    </w:p>
    <w:p>
      <w:r>
        <w:t>Les frais de la procédure de recours, arrêtés à CHF 1'677.- (émolument : CHF 500.-; débours : CHF 100.-; frais de défense d’office : CHF 1'077.-), sont mis à la charge du recourant qui succombe.</w:t>
      </w:r>
    </w:p>
    <w:p>
      <w:r>
        <w:t>Tribunal cantonal TC Page 8 de 8 la Chambre arrête : I. Le recours est rejeté. Partant, l'ordonnance du Tribunal des mesures de contrainte du 16 février 2023 ordonnant la détention provisoire de A.________ jusqu’au 12 avril 2023 est confirmée. II. L’indemnité due à Me Christian Delaloye, défenseur d’office, pour la procédure de recours est arrêtée à CHF 1'000.-, TVA par CHF 77.- en sus. III. Les frais de procédure, fixés à CHF 1'677.- (émolument : CHF 500.-; débours : CHF 100.-;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mars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