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250 vom 19. Februar 2024</w:t>
      </w:r>
    </w:p>
    <w:p>
      <w:r>
        <w:t>FR Kantonsgericht, 2024-02-19, DE</w:t>
      </w:r>
    </w:p>
    <w:p>
      <w:r>
        <w:rPr>
          <w:b/>
        </w:rPr>
        <w:t xml:space="preserve">Quelle: </w:t>
      </w:r>
      <w:r>
        <w:t>https://mcp.opencaselaw.ch/entscheid/fr_gerichte_502_2023_250</w:t>
      </w:r>
    </w:p>
    <w:p>
      <w:r>
        <w:t>FR: FR_GERICHTE 502 2023 250 du 19 février 2024</w:t>
      </w:r>
    </w:p>
    <w:p>
      <w:r>
        <w:t>IT: FR_GERICHTE 502 2023 250 del 19 febbraio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En l'espèce, le recours a été interjeté dans le délai légal.</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les parties plaignantes et recourantes disposent d’un intérêt juridiquement protégé à l’annulation de la décision attaquée en ce qui concerne des faits qui les touchent directement et personnellement, soit ceux relatifs à l'escroquerie (art. 146 CP), l'éventuellement mise en danger de la vie d'autrui (art. 129 CP) et la violation des règles de l'art de construire (art. 229 CP) dont elles se prétendent victimes. Les parties plaignantes et recourantes ont ainsi qualité pour recourir et leur recours est en l'espèce recevable suite à la régularisation intervenue.</w:t>
      </w:r>
    </w:p>
    <w:p>
      <w:r>
        <w:rPr>
          <w:b/>
        </w:rPr>
        <w:t>E. 1.3</w:t>
      </w:r>
    </w:p>
    <w:p>
      <w:r>
        <w:t>La Chambre pénale statue sans débats (art. 397 al. 1 CPP).</w:t>
      </w:r>
    </w:p>
    <w:p>
      <w:r>
        <w:rPr>
          <w:b/>
        </w:rPr>
        <w:t>E. 2</w:t>
      </w:r>
    </w:p>
    <w:p>
      <w:r>
        <w:t>Les parties plaignantes et recourantes se plaignent, dans un premier grief, d'une violation du droit de participer à l'administration des preuves, plus particulièrement de l'audience du 25 avril 2023 lors de laquelle D.________ et E.________ ont conjointement été entendus en tant que prévenus. Elles n'auraient pas pu poser toutes les questions souhaitées et n'ont pas obtenu toutes les réponses espérées.</w:t>
      </w:r>
    </w:p>
    <w:p>
      <w:r>
        <w:rPr>
          <w:b/>
        </w:rPr>
        <w:t>E. 2.1</w:t>
      </w:r>
    </w:p>
    <w:p>
      <w:r>
        <w:t>L'article 147 alinéa 1 1ère phrase CPP consacre le principe de l'administration des preuves en présence des parties durant la procédure d'instruction et les débats. Il en ressort que les parties ont le droit d'assister à l'administration des preuves par le ministère public et les tribunaux et de Tribunal cantonal TC Page 6 de 11 poser des questions aux comparants. Ce droit spécifique de participer et de collaborer découle du droit d'être entendu (art. 107 al. 1 let. b CPP).</w:t>
      </w:r>
    </w:p>
    <w:p>
      <w:r>
        <w:rPr>
          <w:b/>
        </w:rPr>
        <w:t>E. 2.2</w:t>
      </w:r>
    </w:p>
    <w:p>
      <w:r>
        <w:t>En l'espèce, les parties plaignantes et recourantes ne démontrent pas la violation dont elles auraient été victimes. En effet, si certes il était possible d'entendre séparément les prévenus, il était également possible de procéder conjointement. De plus, lors de son éventuelle audition seul, D.________ aurait eu le droit de se taire ou de se contenter de confirmer les déclarations de son épouse. Autrement dit, il n'est pas démontré qu'une audition séparée aurait permis d'obtenir de plus amples réponses. En ce qui concerne les questions posées, la Chambre pénale constate - à la lecture des différentes auditions - que les parties plaignantes et recourantes - à chaque fois par l'intermédiaire de A.________ - ont pu en formuler. Aucun incident particulier n'est inscrit aux procès-verbaux. Finalement s'agissant de l'absence de certaines réponses aux questions de savoir qui a effectué l'installation de gaz, qui a réalisé le caisson bricolé, où a été découverte une des nombreuses fuites d'eau, ces dernières confirment le caractère civil du litige qui oppose les parties. La Chambre pénale cherche en vain en quoi ces réponses étaient utiles au règlement de la plainte pénale du 22 septembre 2023. Surtout et dans tous les cas, les prévenus avaient de toute manière parfaitement le droit de ne pas y répondre. L'instruction du Ministère public, via la Police de sûreté, est ainsi conforme au droit. Le premier grief des parties plaignantes et recourantes est donc rejeté.</w:t>
      </w:r>
    </w:p>
    <w:p>
      <w:r>
        <w:rPr>
          <w:b/>
        </w:rPr>
        <w:t>E. 2.2.1</w:t>
      </w:r>
    </w:p>
    <w:p>
      <w:r>
        <w:t>;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"entre quatre yeux" pour lesquels il n'existe souvent aucune preuve objective. Il peut toutefois être renoncé à une mise en Tribunal cantonal TC Page 7 de 11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6B_957/2021 précité consid. 2.4 ; 6B_277/2021 du 10 février 2022 consid. 3.1.3 ; 6B_258/2021 du 12 juillet 2021 consid. 2.2).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Dans le domaine patrimonial, le principe de la subsidiarité du droit pénal est admis en ce sens qu’il incombe au droit civil, prioritairement, d’aménager les rapports contractuels et extracontractuels entre les individus (ATF 141 IV 71 consid. 7 et la référence citée).</w:t>
      </w:r>
    </w:p>
    <w:p>
      <w:r>
        <w:rPr>
          <w:b/>
        </w:rPr>
        <w:t>E. 3</w:t>
      </w:r>
    </w:p>
    <w:p>
      <w:r>
        <w:t>Dans un second grief, les parties plaignantes et recourantes reproche au Ministère public d'avoir classer les procédures pénales.</w:t>
      </w:r>
    </w:p>
    <w:p>
      <w:r>
        <w:rPr>
          <w:b/>
        </w:rPr>
        <w:t>E. 3.1</w:t>
      </w:r>
    </w:p>
    <w:p>
      <w:r>
        <w:t>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w:t>
      </w:r>
    </w:p>
    <w:p>
      <w:r>
        <w:rPr>
          <w:b/>
        </w:rPr>
        <w:t>E. 3.2.1</w:t>
      </w:r>
    </w:p>
    <w:p>
      <w:r>
        <w:t>Se rend coupable d'escroquerie au sens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de la sorte détermine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135 IV 76 consid. 5.1). Une simple tromperie ne suffit cependant pas : encore faut-il qu'elle soit astucieuse.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Tel est notamment le cas si l'auteur exploite un rapport de confiance préexistant qui dissuade la dupe de vérifier (ATF 122 IV 246 consid. 3a) ou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Tribunal cantonal TC Page 8 de 11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 dupe doit procéder à des vérifications quant à la capacité de l'auteur d'exécuter le contrat convenu, l'absence de volonté pouvant également être déduite du fait que, par le passé déjà, l'escroc n'avait pas tenu ses engagements (ATF 118 IV 359).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 cf. arrêt TF 6B_584/2018 du 30 août 2018 consid. 2.1).</w:t>
      </w:r>
    </w:p>
    <w:p>
      <w:r>
        <w:rPr>
          <w:b/>
        </w:rPr>
        <w:t>E. 3.2.2</w:t>
      </w:r>
    </w:p>
    <w:p>
      <w:r>
        <w:t>En l'espèce et tout d'abord, les propos que prêtent les parties plaignantes et recourantes au témoin L.________ ne ressortent pas de son audition (DO/2187ss). En particulier, la témoin n’a pas déclaré « qu’elle avait repris un dossier qui s’essoufflait et ne trouvait pas preneur », ne fait pas mention d’irrégularités dans ce dossier et n’a en aucun cas laissé entendre que l’objet devait être vendu au plus vite (cf. recours du 20 octobre 2023, p. 4). Ces propos ne leur sont ainsi d'aucun secours. Par ailleurs et contrairement à ce que prétendent les parties plaignantes et recourantes, le moment à partir duquel les défauts sont apparus n'est pas si relevant en l'espèce ; contrairement au fait de savoir si les prévenus et intimés en avaient connaissance et s'ils ont tenté de les cacher. S'agissant des dégâts d'eau, ceux-ci étaient visibles (taches). Ils n'ont donc pas pu être cachés. Il ressort des déclarations du témoin L.________ que dits défauts ont été annoncés et discutés. Il n'y a dès lors aucune tromperie ; et encore moins astucieuse. S'agissant de la poutraison, il ressort des déclarations du témoin I.________ que le placo empêchait de se rendre compte de ce défaut et que d'une manière générale, il était difficile de constater les défauts pour une personne inexpérimentée dans la construction. Ainsi, c'est à juste titre que le Ministère public a retenu l'absence de tromperie astucieuse des prévenus et intimés sur ce point aussi. S'agissant du chauffage, là encore, le Ministère public n'a procédé à aucune mauvaise interprétation puisque selon le témoin J.________ aucun défaut d'installation de chauffage n'avait été constaté. Il n'a d'ailleurs recommandé aucune autre mesure suite à l'intervention de 2020. La seule difficulté résidait dans le fait de trouver des pièces de remplacement. Là encore, il n'y a manifestement aucune tromperie des prévenus et intimés. D'ailleurs et toujours contrairement à ce qu'affirment les parties plaignantes et recourantes, il n'y a aucune interprétation tendancieuse du Ministère public de considérer le bien immobilier comme entretenu. En effet, cela ressort sans équivoque des déclarations du témoin L.________ qui a confirmé que tout était "nickel" et que la maison - habitée - était chauffée. Le fait que la maison soit occupée ou non ne joue toutefois pénalement aucun rôle et ceci d'autant plus que les parties plaignantes et recourantes ne relèvent qu'une différence de quelques mois. Or ce n'est évidemment pas en quelques mois que les défauts - dont les acquéreurs se plaignent - sont apparus, comme ils ne cessent de le rappeler. Finalement, avant d'acquérir le bien immobilier, les parties plaignantes et recourantes ont procédé à plusieurs visites de ce bien - qu'ils savaient ancien - sans juger utile de Tribunal cantonal TC Page 9 de 11 le faire examiner par un professionnel de confiance alors que les prévenus et intimés ne les en ont pas dissuadées, ni créé les conditions pour que tel soit le cas. Les parties plaignantes et recourantes ont également choisi de finaliser l'achat alors que plusieurs documents qu'elles réclamaient ne leur avaient pas été remis (DO/2009). Par conséquent, les éléments constitutifs de l'escroquerie - que les parties plaignantes et recourantes reprennent mais en les méconnaissant et en les interprétant uniquement en leur faveur - ne sont pas réalisés. C'est donc à juste titre que le Ministère public a ordonné le classement de cette infraction.</w:t>
      </w:r>
    </w:p>
    <w:p>
      <w:r>
        <w:rPr>
          <w:b/>
        </w:rPr>
        <w:t>E. 3.3.1</w:t>
      </w:r>
    </w:p>
    <w:p>
      <w:r>
        <w:t>L'article 129 CP réprime le comportement de quiconque, sans scrupules, met autrui en danger de mort imminent. Le danger au sens de cette disposition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arrêt TF 6B_876/2015 du 2 mai 2016 consid. 2.1 non publié aux ATF 142 IV 245). Il doit en outre s'agir d'un danger de mort, et non pas seulement d'un danger pour la santé ou l'intégrité corporelle (ATF 133 IV 1 consid. 5.1; ATF 101 IV 154 consid. 2a ; arrêt TF 6B_876/2015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arrêt TF 6B_1297/2017 du 26 juillet 2018 consid. 6.1 et les références citées).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(ATF 133 IV 1 consid. 5.1 ; ATF 121 IV 67 ; ATF 107 IV 63). Le dol éventuel ne suffit pas (arrêt TF 6B_876/2015 du 2 mai 2016 consid. 2.1 et les références citées). Selon la jurisprudence, un acte est commis sans scrupules au sens de l'article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(arrêt TF 6B_87/2013 du 13 mai 2013 consid. 3.4).</w:t>
      </w:r>
    </w:p>
    <w:p>
      <w:r>
        <w:rPr>
          <w:b/>
        </w:rPr>
        <w:t>E. 3.3.2</w:t>
      </w:r>
    </w:p>
    <w:p>
      <w:r>
        <w:t>En l'espèce à l'instar du Ministère public, la Chambre pénale considère qu'il n'est pas établi que les prévenus et intimés aient intentionnellement mis en danger de mort imminent les parties plaignantes et recourantes. Ni l'imminence, ni le danger de mort sont établis. De plus, même en admettant que les prévenues et intimés aient quitté les lieux quelques mois avant l'emménagement des acquéreurs, la situation n'a pas pu évoluer suffisamment. Ainsi les prévenus et intimés n'auraient évidemment pas pris le risque d'habiter dans un bien représentant un danger de mort imminent s'ils en avaient eu connaissance. Le raisonnement du Ministère public est donc pertinent et c'est ainsi à juste titre aussi qu'il a ordonné le classement de cette infraction manifestement pas réalisée. Tribunal cantonal TC Page 10 de 11</w:t>
      </w:r>
    </w:p>
    <w:p>
      <w:r>
        <w:rPr>
          <w:b/>
        </w:rPr>
        <w:t>E. 3.4.1</w:t>
      </w:r>
    </w:p>
    <w:p>
      <w:r>
        <w:t>L’article 229 CP punit quiconque, intentionnellement, enfreint les règles de l’art en dirigeant ou en exécutant une construction ou une démolition et met par-là sciemment en danger la vie ou l’intégrité corporelle des personnes. Celui qui dirige ou exécute une construction se porte garant du respect des règles de l’art de construire dans sa sphère de responsabilités. La responsabilité pénale d’un participant à la construction se détermine sur la base des prescriptions légales, des accords contractuels ou des fonctions exercées, comme sur toutes circonstances concrètes (TF, arrêt 6B_1016/2009 du 11 février 2010 consid. 5.2.1). En principe, la règle doit être respectée par celui qui accomplit l’activité qu’elle régit ; il existe cependant aussi, pour ceux qui dirigent les travaux, le devoir de donner les instructions nécessaires et de surveiller l’exécution.</w:t>
      </w:r>
    </w:p>
    <w:p>
      <w:r>
        <w:rPr>
          <w:b/>
        </w:rPr>
        <w:t>E. 3.4.2</w:t>
      </w:r>
    </w:p>
    <w:p>
      <w:r>
        <w:t>En l'espèce, les prévenus et intimés n'ont effectivement entrepris aucun des travaux litigieux et il ressort des déclarations des professionnels qui sont intervenus que lors de leur visite, ils ont d'une part réglé le problème objet de leur visite et d'autre part, pas signalé de défaut particulier aux prévenus et intimés. Ces derniers n'ont dès lors même pas toléré une exécution dangereuse. Cette infraction n'est ainsi pas réalisée et le Ministère public en a - avec raison - ordonné le classement.</w:t>
      </w:r>
    </w:p>
    <w:p>
      <w:r>
        <w:rPr>
          <w:b/>
        </w:rPr>
        <w:t>E. 4.1</w:t>
      </w:r>
    </w:p>
    <w:p>
      <w:r>
        <w:t>Au vu de l’issue du recours, les frais de procédure, arrêtés à CHF 900.- (émolument : CHF 600.- ; débours : CHF 300.-), sont mis solidairement à la charge des parties plaignante et recourantes (art. 428 al. 1 CPP) et prélevés sur les sûretés prestées par ces dernières.</w:t>
      </w:r>
    </w:p>
    <w:p>
      <w:r>
        <w:rPr>
          <w:b/>
        </w:rPr>
        <w:t>E. 4.2</w:t>
      </w:r>
    </w:p>
    <w:p>
      <w:r>
        <w:t>Pour les mêmes raisons, il n’est pas alloué d’indemnités aux parties plaignantes et recourantes.</w:t>
      </w:r>
    </w:p>
    <w:p>
      <w:r>
        <w:rPr>
          <w:b/>
        </w:rPr>
        <w:t>E. 4.3</w:t>
      </w:r>
    </w:p>
    <w:p>
      <w:r>
        <w:t>Les prévenus et intimés n'étaient pas représentés. De plus, ils n'ont fait valoir aucune prétention en lien avec un éventuel dommage économique et / ou un éventuel tort moral (art. 429 CPP). Il ne leur est donc pas alloué d'indemnités. Tribunal cantonal TC Page 11 de 11 la Chambre arrête : I. Le recours est rejeté. Partant, l'ordonnance de classement du Ministère public du 9 octobre 2023 est confirmée. II. Les frais de la procédure de recours, arrêtés à CHF 900.- (émolument : CHF 600.- ; débours : CHF 300.-), sont mis solidairement à la charge de B.________, A.________ et la C.________ et prélevés sur les sûretés prestées.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février 2024/lgu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