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163 vom 22. August 2023</w:t>
      </w:r>
    </w:p>
    <w:p>
      <w:r>
        <w:t>FR Kantonsgericht, 2023-08-22, FR</w:t>
      </w:r>
    </w:p>
    <w:p>
      <w:r>
        <w:rPr>
          <w:b/>
        </w:rPr>
        <w:t xml:space="preserve">Quelle: </w:t>
      </w:r>
      <w:r>
        <w:t>https://mcp.opencaselaw.ch/entscheid/fr_gerichte_502_2023_163</w:t>
      </w:r>
    </w:p>
    <w:p>
      <w:r>
        <w:t>FR: FR_GERICHTE 502 2023 163 du 22 août 2023</w:t>
      </w:r>
    </w:p>
    <w:p>
      <w:r>
        <w:t>IT: FR_GERICHTE 502 2023 163 del 22 agosto 2023</w:t>
      </w:r>
    </w:p>
    <w:p>
      <w:pPr>
        <w:pStyle w:val="Heading2"/>
      </w:pPr>
      <w:r>
        <w:t>Regeste</w:t>
      </w:r>
    </w:p>
    <w:p>
      <w:r>
        <w:t>Arrêt de la Chambre pénale du Tribunal cantonal | Strafrecht</w:t>
      </w:r>
    </w:p>
    <w:p>
      <w:pPr>
        <w:pStyle w:val="Heading2"/>
      </w:pPr>
      <w:r>
        <w:t>Erwägungen</w:t>
      </w:r>
    </w:p>
    <w:p>
      <w:r>
        <w:rPr>
          <w:b/>
        </w:rPr>
        <w:t>E. 33</w:t>
      </w:r>
    </w:p>
    <w:p>
      <w:r>
        <w:t>ss et 43 RJ) doivent être mis à la charge du recourant. Ils sont fixés à CHF 250.- (émoluments : CHF 200.-; débours : CHF 50.-) ; (dispositif en page suivante)</w:t>
      </w:r>
    </w:p>
    <w:p>
      <w:r>
        <w:t>Tribunal cantonal TC Page 5 de 5 la Chambre arrête : I. Le recours est rejeté, dans la mesure de sa recevabilité. Partant, l’ordonnance du Juge de police de l’arrondissement de la Sarine du 4 juillet 2023 est confirmée. II. Les frais de la procédure de recours, fixés à CHF 250.- (émoluments : CHF 200.-;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