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141 vom 29. Juni 2023</w:t>
      </w:r>
    </w:p>
    <w:p>
      <w:r>
        <w:t>FR Kantonsgericht, 2023-06-29, FR</w:t>
      </w:r>
    </w:p>
    <w:p>
      <w:r>
        <w:rPr>
          <w:b/>
        </w:rPr>
        <w:t xml:space="preserve">Quelle: </w:t>
      </w:r>
      <w:r>
        <w:t>https://mcp.opencaselaw.ch/entscheid/fr_gerichte_502_2023_141</w:t>
      </w:r>
    </w:p>
    <w:p>
      <w:r>
        <w:t>FR: FR_GERICHTE 502 2023 141 du 29 juin 2023</w:t>
      </w:r>
    </w:p>
    <w:p>
      <w:r>
        <w:t>IT: FR_GERICHTE 502 2023 141 del 29 giugno 2023</w:t>
      </w:r>
    </w:p>
    <w:p>
      <w:pPr>
        <w:pStyle w:val="Heading2"/>
      </w:pPr>
      <w:r>
        <w:t>Regeste</w:t>
      </w:r>
    </w:p>
    <w:p>
      <w:r>
        <w:t>Arrêt de la Chambre pénale du Tribunal cantonal | Nichtanhandnahme (Art. 310 StPO)</w:t>
      </w:r>
    </w:p>
    <w:p>
      <w:pPr>
        <w:pStyle w:val="Heading2"/>
      </w:pPr>
      <w:r>
        <w:t>Erwägungen</w:t>
      </w:r>
    </w:p>
    <w:p>
      <w:r>
        <w:rPr>
          <w:b/>
        </w:rPr>
        <w:t>E. 25</w:t>
      </w:r>
    </w:p>
    <w:p>
      <w:r>
        <w:t>mai 2023 et, d’autre part, formuler une demande de récusation dans son recours; en substance, A.________ demande la récusation de la Présidente C.________, de « tous les membres du crime organisé qui siègent sur les fauteuils de magistrats fribourgeois, quelle que soit l’instance » ou encore de la totalité des magistrats fribourgeois « qui agissent en collégialité (complicité) »; qu’en tant qu’elle est dirigée contre « tous les membres du crime organisé qui siègent sur les fauteuils de magistrats fribourgeois, quelle que soit l’instance », respectivement la totalité des magistrats fribourgeois « qui agissent en collégialité (complicité) », la demande de récusation est irrecevable, A.________ se limitant, une nouvelle fois, à réclamer une récusation en bloc sans que ne soient exposés des motifs de récusation concrets et individuels à l’encontre de chacun de ses membres (not. arrêt TPF BB.2018.190 du 17 juin 2019 in JdT 2020 IV 126; arrêts TC FR 502 2022 252-253 du 19 décembre 2022 consid. 5, 502 2022 268+269+270 du 27 février 2023 consid. 4, 502 2023 43+44+45+46+66 du 4 avril 2023 consid. 3.2); que la demande de récusation est également irrecevable dans la mesure où elle concerne la Présidente C.________ puisqu’il n’appartient pas à la juridiction pénale de se prononcer sur la récusation d’une magistrate de la juridiction civile (cf. procédure de mainlevée d’opposition); que le recours est pour sa part irrecevable dans la mesure où A.________ réclame le rejet de la requête de mainlevée d’opposition, celui-ci n’étant manifestement pas de la compétence de la juridiction pénale, mais uniquement de la juridiction civile; que le recours est ensuite mal fondé en tant qu’il s’oppose à la compétence matérielle du Ministère public; A.________ affirme certes que « la compétence d’instruire contre des membres d’une organisation criminelle qui agit dans le cadre d’une escroquerie et du blanchiment d’argent » revient au MPC, mais se contente ensuite de relever de manière peu compréhensible une conspiration à son égard, sans indiquer, ni a fortiori démontrer en quoi précisément la compétence matérielle du MPC au sens des art. 23 s. CPP serait en l’espèce donnée; que s’agissant enfin de la non-entrée en matière sur la plainte pénale du 25 mai 2023, la motivation de l’ordonnance querellée, soit que les montants qui lui sont réclamés se fondent sur une décision de mainlevée d'opposition, respectivement que la créance de Me E.________ repose sur des décisions de justice, ne prête pas le flanc à la critique; A.________ ne démontre en particulier pas en quoi les éléments constitutifs objectifs et subjectifs de l’infraction d’escroquerie (art. 146 CP), soit la tromperie, l’astuce, l’erreur, l’acte préjudiciable aux intérêts pécuniaires, le dommage, le rapport de causalité, l’intention et le dessein d’enrichissement illégitime, seraient remplis en l’espèce; que dans ces conditions, le recours s’avère manifestement mal fondé, pour autant que recevable; que les frais judiciaires des procédures de récusation et de recours, arrêtés à CHF 400.- (émolument : CHF 300.-; débours : CHF 100.-), sont mis à la charge de A.________ qui succombe (art. 428 al. 1 CPP);</w:t>
      </w:r>
    </w:p>
    <w:p>
      <w:r>
        <w:t>Tribunal cantonal TC Page 4 de 4 la Chambre arrête : I. La demande de récusation est irrecevable. II. Le recours est rejeté, pour autant que recevable. Partant, l'ordonnance du Ministère public du 15 juin 2023 est confirmée. III. Les frais judiciaires des procédures de récusation et de recours, arrêtés à CHF 400.- (émolument : CHF 300.- ; débours : CHF 100.-), sont mis à la charge de A.________.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juin 2023/swo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