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125 vom 26. September 2023</w:t>
      </w:r>
    </w:p>
    <w:p>
      <w:r>
        <w:t>FR Kantonsgericht, 2023-09-26, FR</w:t>
      </w:r>
    </w:p>
    <w:p>
      <w:r>
        <w:rPr>
          <w:b/>
        </w:rPr>
        <w:t xml:space="preserve">Quelle: </w:t>
      </w:r>
      <w:r>
        <w:t>https://mcp.opencaselaw.ch/entscheid/fr_gerichte_502_2023_125</w:t>
      </w:r>
    </w:p>
    <w:p>
      <w:r>
        <w:t>FR: FR_GERICHTE 502 2023 125 du 26 septembre 2023</w:t>
      </w:r>
    </w:p>
    <w:p>
      <w:r>
        <w:t>IT: FR_GERICHTE 502 2023 125 del 26 settembre 2023</w:t>
      </w:r>
    </w:p>
    <w:p>
      <w:pPr>
        <w:pStyle w:val="Heading2"/>
      </w:pPr>
      <w:r>
        <w:t>Regeste</w:t>
      </w:r>
    </w:p>
    <w:p>
      <w:r>
        <w:t>Arrêt de la Chambre pénale du Tribunal cantonal | Amtliche Verteidigung (Art. 132 f. StPO; 143 JG)</w:t>
      </w:r>
    </w:p>
    <w:p>
      <w:pPr>
        <w:pStyle w:val="Heading2"/>
      </w:pPr>
      <w:r>
        <w:t>Erwägungen</w:t>
      </w:r>
    </w:p>
    <w:p>
      <w:r>
        <w:rPr>
          <w:b/>
        </w:rPr>
        <w:t>E. 1</w:t>
      </w:r>
    </w:p>
    <w:p>
      <w:r>
        <w:t>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(art. 20 CPP) contre la décision du ministère public ou du tribunal de première instance fixant son indemnité (art. 135 al. 3 let. a CPP; ATF 139 IV 199 c. 5.2). Le recours doit être adressé par écrit, dans un délai de dix jours dès la notification de la décision attaquée (art. 384 let. b CPP), à l’autorité de recours (art. 396 al. 1 CPP), qui, dans le canton de Fribourg, est la Chambre pénale du Tribunal cantonal (art. 85 al. 1 LJ [loi du 31 mai 2010 sur la justice; RSF 130.1]). Aux termes de l’art. 395 let. b CPP, si l'autorité de recours est un tribunal collégial, sa direction de la procédure statue seule sur le recours, lorsqu'il porte sur les conséquences économiques accessoires d'une décision et que le montant litigieux n'excède pas CHF 5’000.-. Tel est le cas en l’espèce (CHF 10'153.15 - CHF 7'032.- = CHF 3’121.15). La cause sera dès lors tranchée par le Vice-Président. La recevabilité du recours est par ailleurs incontestable.</w:t>
      </w:r>
    </w:p>
    <w:p>
      <w:r>
        <w:t>Tribunal cantonal TC Page 3 de 6</w:t>
      </w:r>
    </w:p>
    <w:p>
      <w:r>
        <w:rPr>
          <w:b/>
        </w:rPr>
        <w:t>E. 2.1</w:t>
      </w:r>
    </w:p>
    <w:p>
      <w:r>
        <w:t>Le défenseur d’office est indemnisé conformément au tarif des avocats de la Confédération ou du canton du for du procès. Dans le canton de Fribourg, le défenseur d'office est indemnisé selon le tarif concernant les indemnités allouées aux défenseurs d'office en matière d'assistance judiciaire (cf. art. 143 al. 2 LJ; ATF 139 IV 261). Les art. 56 ss RJ règlent notamment l’indemnité horaire de l’avocat d’office breveté (CHF 180.-; art. 57 al. 2 RJ), les critères de fixation (art. 57 al. 1 RJ), les débours (art. 58 RJ), etc. Selon la jurisprudence relative à l’art. 135 CPP, l’autorité cantonale dispose d’un large pouvoir d’appréciation dans la fixation de l’indemnité du défenseur d’office. L’avocat d’office a cependant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TF 6B_1231/2018 du 20 mars 2019 cons. 2.1.1).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(ATF 141 I 124 consid. 3.1; 109 Ia 107 consid. 3a). Il est donc reconnu que le temps consacré à la procédure ne doit être pris en considération que dans la mesure où il apparaît raisonnablement nécessaire à l'accomplissement de son mandat par un avocat expérimenté.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(arrêt TF 5D_149/2016 du 30 janvier 2017 consid. 3.3 et les références.). D'une part, on doit exiger de la part de l'avocat qu'il soit expéditif et efficace dans son travail et qu'il se concentre sur les points essentiels. Le défenseur est tenu d'examiner la nécessité de démarches procédurales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(BK – FELLMANN, art. 394 CO n. 426; RFJ 2000 p. 117 ss, consid. 5).</w:t>
      </w:r>
    </w:p>
    <w:p>
      <w:r>
        <w:rPr>
          <w:b/>
        </w:rPr>
        <w:t>E. 2.2</w:t>
      </w:r>
    </w:p>
    <w:p>
      <w:r>
        <w:t>En l’occurrence, le Ministère public a procédé à treize corrections sur la liste de frais de Me A.________. Seules deux d’entre elles sont contestées en recours. Le Ministère public a réduit de 18h45 à 4 heures les entretiens entre Me A.________ et B.________. Il a également supprimé le temps consacré par l’avocat à la rédaction d’une lettre le 29 mars 2022 (35 minutes).</w:t>
      </w:r>
    </w:p>
    <w:p>
      <w:r>
        <w:t>Tribunal cantonal TC Page 4 de 6</w:t>
      </w:r>
    </w:p>
    <w:p>
      <w:r>
        <w:rPr>
          <w:b/>
        </w:rPr>
        <w:t>E. 2.3</w:t>
      </w:r>
    </w:p>
    <w:p>
      <w:r>
        <w:t>Dans son recours, Me A.________ insiste sur les difficultés auxquelles il a été confronté lors de l’exercice de son mandat compte tenu du caractère difficile de B.________. Il explique que celui- ci souffre de schizophrénie paranoïde, et qu’il peut être agressif voire violent; quatre agents du groupe d’intervention de la police cantonale fribourgeoise (GRIF) étaient présents lors de son audition du 21 septembre 2021 et lors de l’audience du lendemain devant le Tribunal des mesures de contrainte. B.________ était très demandeur dans le suivi de son dossier et n’hésitait pas à traiter son avocat de « nom d’oiseaux » et à l’invectiver en proférant des menaces à son encontre ou envers sa famille si le dossier n’évoluait pas comme il le souhaitait. Ce comportement n’a pas empêché le recourant de mener à bien le mandant sans avoir à recourir à un changement d’avocat d’office; son intervention a été qualifiée de salutaire par C.________; elle a permis de calmer la situation sans nouveau recours au GRIF ou à un placement à des fins d’assistance.</w:t>
      </w:r>
    </w:p>
    <w:p>
      <w:r>
        <w:rPr>
          <w:b/>
        </w:rPr>
        <w:t>E. 2.4</w:t>
      </w:r>
    </w:p>
    <w:p>
      <w:r>
        <w:t>D’emblée, il sied de s’arrêter sur une remarque du Ministère public dans sa décision, à laquelle le recourant a attribué une signification erronée : l’autorité intimée a fixé la durée admissible des entretiens entre l’avocat et son client à quatre heures « compte tenu encore une fois de l’état de santé particulier du prévenu ». Selon Me A.________, le Ministère public porte à croire qu’en raison de l’état de santé fragile de B.________, son avocat n’aurait pas dû s’y intéresser, partant, y consacrer du temps. La motivation contestée doit toutefois être lue en lien avec le paragraphe précédent de la décision, où le Ministère public indemnise exceptionnellement le temps consacré par l’avocat à « l’encadrement social » de son client, soit des entretiens avec sa sœur et son ex- épouse, pour une durée de trois heures, « compte tenu de l’état de santé particulier du prévenu ». On comprend ainsi clairement que les quatre heures accordées pour les entretiens avocat-client apparaissent déjà bien comptées pour le Ministère public mais acceptables compte tenu des problèmes de santé précités. En d’autres termes, les problèmes de santé du prévenu justifient d’augmenter la durée raisonnable des entretiens, et non de la réduire.</w:t>
      </w:r>
    </w:p>
    <w:p>
      <w:r>
        <w:rPr>
          <w:b/>
        </w:rPr>
        <w:t>E. 2.5</w:t>
      </w:r>
    </w:p>
    <w:p>
      <w:r>
        <w:t>heures d’entretiens par mois, en sus de ceux ayant immédiatement précédé ou succédé aux auditions. Cela est effectivement trop important, les points à discuter pour une défense efficace n’apparaissant pas nécessiter autant de discussion, même en tenant compte des difficultés de santé du prévenu. Il sied par ailleurs de relever que les entretiens précédant ou suivant immédiatement les auditions ont été rémunérés en sus des quatre heures retenues par le Ministère public. Mais si on pouvait attendre du recourant qu’il se montrât plus ferme envers B.________ face à ses trop nombreuses sollicitations, ne lui allouer que quatre heures d’entretien sur sept mois est en revanche trop rigoureux. Il semble plus juste de fixer cette durée raisonnable à neuf heures, soit un peu plus d’une heure par mois. Cela représente cinq heures de plus que ce que le Ministère public avait admis. Le grief est en partie fondé.</w:t>
      </w:r>
    </w:p>
    <w:p>
      <w:r>
        <w:rPr>
          <w:b/>
        </w:rPr>
        <w:t>E. 2.6</w:t>
      </w:r>
    </w:p>
    <w:p>
      <w:r>
        <w:t>En ce qui concerne l’autre réduction effectuée par le Ministère public, elle consiste en une diminution de 35 minutes d’opérations notées à hauteur de 55 minutes le 29 mars 2022 (« brève étude du dossier, courrier au Procureur, courrier explicatif circonstancié au client »). L’autorité intimée a considéré qu’une durée de 20 minutes est suffisante pour l’accomplissement des opérations en question. Me A.________ explique qu’il a dû rédiger à B.________ un courrier explicatif sur plusieurs documents qu’il n’a pu lui remettre la veille à la prison car il les avait refusés compte tenu de son emploi du temps. En soi, il est toujours problématique pour l’autorité de se prononcer sur le temps nécessaire à l’établissement d’un courrier ne figurant pas au dossier. En outre, la démarche n’est pas superflue, même si elle a été occasionnée par le prévenu, et le Ministère public ne le prétend pas. Il convient dès lors de tenir compte de ces 35 minutes supplémentaires.</w:t>
      </w:r>
    </w:p>
    <w:p>
      <w:r>
        <w:rPr>
          <w:b/>
        </w:rPr>
        <w:t>E. 2.7</w:t>
      </w:r>
    </w:p>
    <w:p>
      <w:r>
        <w:t>En définitive, c’est une durée de 335 minutes qui sera indemnisée en sus, ce qui représente un montant de l’ordre de CHF 1'000.-, soit CHF 6'400.- (arrondis) pour les honoraires, auxquels s’ajoutent les débours (CHF 320.-), les frais de déplacement (CHF 875.-), et la TVA (CHF 584.80), soit un total de CHF 8'179.80. Il s’ensuit l’admission partielle du recours.</w:t>
      </w:r>
    </w:p>
    <w:p>
      <w:r>
        <w:rPr>
          <w:b/>
        </w:rPr>
        <w:t>E. 3</w:t>
      </w:r>
    </w:p>
    <w:p>
      <w:r>
        <w:t>Me A.________ réclamait une augmentation de son indemnité de CHF 3’121.15; il obtient CHF 1’147.80 de plus que ce que le Ministère public lui avait octroyé, soit environ 1/3 de sa prétention. Les frais judiciaires de la procédure de recours, fixés à CHF 300.-, seront par conséquent laissés à la charge de l’Etat par CHF 100.- et de Me A.________ par CHF 200.- (art. 428 al. 1 CPP). Le recours étant en partie admis, Me A.________ a droit à une indemnité réduite (art. 436 al. 2 CPP) de CHF 200.-, TVA comprise, l’indemnité entière étant de CHF 600.-. Elle sera compensée avec les frais judiciaires mis à la charge du recourant.</w:t>
      </w:r>
    </w:p>
    <w:p>
      <w:r>
        <w:t>Tribunal cantonal TC Page 6 de 6 le Vice-Président de la Chambre arrête : I. Le recours est partiellement admis. Partant, le chiffre 1 de l’ordonnance du 23 mai 2023 du Ministère public rendue en la cause F 21 8629 est réformé en ce sens que l'indemnité due à Me A.________ pour la défense d'office de B.________ est fixée à CHF 8'179.80, TVA par CHF 584.80 comprise. II. Les frais de la présente procédure sont arrêtés à CHF 300.- (émolument : CHF 200.-; débours : CHF 100.-) et mis à la charge de l'Etat par CHF 100.- et de Me A.________ par CHF 200.-. Une indemnité de CHF 200.-, débours et TVA compris, est allouée à Me A.________ pour la procédure de recours. Les frais et l’indemnité sont compensés.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septembre 2023/jde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