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70 vom 20. Juni 2022</w:t>
      </w:r>
    </w:p>
    <w:p>
      <w:r>
        <w:t>FR Kantonsgericht, 2022-06-20, FR</w:t>
      </w:r>
    </w:p>
    <w:p>
      <w:r>
        <w:rPr>
          <w:b/>
        </w:rPr>
        <w:t xml:space="preserve">Quelle: </w:t>
      </w:r>
      <w:r>
        <w:t>https://mcp.opencaselaw.ch/entscheid/fr_gerichte_502_2022_70</w:t>
      </w:r>
    </w:p>
    <w:p>
      <w:r>
        <w:t>FR: FR_GERICHTE 502 2022 70 du 20 juin 2022</w:t>
      </w:r>
    </w:p>
    <w:p>
      <w:r>
        <w:t>IT: FR_GERICHTE 502 2022 70 del 20 giugno 2022</w:t>
      </w:r>
    </w:p>
    <w:p>
      <w:pPr>
        <w:pStyle w:val="Heading2"/>
      </w:pPr>
      <w:r>
        <w:t>Regeste</w:t>
      </w:r>
    </w:p>
    <w:p>
      <w:r>
        <w:t>Arrêt de la Chambre pénale du Tribunal cantonal | Nichtanhandnahme (Art. 310 StPO)</w:t>
      </w:r>
    </w:p>
    <w:p>
      <w:pPr>
        <w:pStyle w:val="Heading2"/>
      </w:pPr>
      <w:r>
        <w:t>Erwägungen</w:t>
      </w:r>
    </w:p>
    <w:p>
      <w:r>
        <w:rPr>
          <w:b/>
        </w:rPr>
        <w:t>E. 1.1</w:t>
      </w:r>
    </w:p>
    <w:p>
      <w:r>
        <w:t>Les parties peuvent attaquer une ordonnance de non-entrée en matière rendue par le ministère public (art. 310 CPP) dans les dix jours devant l’autorité de recours (art. 310 al. 2, 322 al.</w:t>
      </w:r>
    </w:p>
    <w:p>
      <w:r>
        <w:rPr>
          <w:b/>
        </w:rPr>
        <w:t>E. 1.2</w:t>
      </w:r>
    </w:p>
    <w:p>
      <w:r>
        <w:t>Les faits et moyens de preuve nouveaux sont admis en procédure de recours (cf. ATF 141 IV 396 consid. 4.4). Ainsi, l’ordonnance de non-entrée en matière du 21 juillet 2021 à l’encontre de A.________ sera, au besoin, prise en compte.</w:t>
      </w:r>
    </w:p>
    <w:p>
      <w:r>
        <w:rPr>
          <w:b/>
        </w:rPr>
        <w:t>E. 1.3</w:t>
      </w:r>
    </w:p>
    <w:p>
      <w:r>
        <w:t>La Chambre statue en procédure écrite (art. 397 al. 1 CPP).</w:t>
      </w:r>
    </w:p>
    <w:p>
      <w:r>
        <w:rPr>
          <w:b/>
        </w:rPr>
        <w:t>E. 2</w:t>
      </w:r>
    </w:p>
    <w:p>
      <w:r>
        <w:t>Selon l’art. 310 al. 1 let. a CPP, le ministère public rend immédiatement une ordonnance de non- entrée en matière s’il ressort de la dénonciation ou du rapport de police que les éléments constitutifs de l’infraction ne sont manifestement pas réunis. L'art. 310 CPP doit être appliqué conformément au principe « in dubio pro duriore ». Ce principe vaut également pour l'autorité judiciaire chargée de l'examen d'une décision de non-entrée en matière. Il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toutefois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w:t>
      </w:r>
    </w:p>
    <w:p>
      <w:r>
        <w:t>Tribunal cantonal TC Page 4 de 6 6B_830/2013 du 10 décembre 2013 consid. 1.4; arrêt TC FR 502 2019 192 du 26 août 2019 consid. 2.1).</w:t>
      </w:r>
    </w:p>
    <w:p>
      <w:r>
        <w:rPr>
          <w:b/>
        </w:rPr>
        <w:t>E. 3.1</w:t>
      </w:r>
    </w:p>
    <w:p>
      <w:r>
        <w:t>Autant l’art. 173 CP (diffamation) que l’art. 174 CP (calomnie)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Selon l’art. 173 ch. 2 CP,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art. 173 n. 55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les références citées). La calomnie (art. 174 CP)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(cf. arrêt TF 6B_676/2017 du 15 décembre 2017 consid. 3.1 et les références citées).</w:t>
      </w:r>
    </w:p>
    <w:p>
      <w:r>
        <w:rPr>
          <w:b/>
        </w:rPr>
        <w:t>E. 3.2</w:t>
      </w:r>
    </w:p>
    <w:p>
      <w:r>
        <w:t>En l’espèce, il ressort du dossier que, dans une détermination du 24 août 2021 adressée au Tribunal cantonal dans le cadre d’une procédure de recours devant la Chambre, C.________ et B.________ ont écrit ce qui suit : « notre voisin a aujourd’hui réussi à instaurer un climat d’insécurité incitant F.________ et nos deux filles à changer leurs habitudes, car elles ont peur de passer devant leur maison. ». De même, dans un courrier adressé par leur mandataire le 21 septembre 2021</w:t>
      </w:r>
    </w:p>
    <w:p>
      <w:r>
        <w:t>Tribunal cantonal TC Page 5 de 6 toujours à la Chambre dans la même procédure, les époux D.________ ont écrit que « à deux reprises seulement, alors qu’elles [leurs filles] ont pris le bus no 5, elles sont malheureusement passées par la route G.________, devant la propriété de A.________ en croyant qu’il serait au travail puisque c’était environ 16h00. ». Le recourant reproche au Ministère public de s’être écarté du texte clair de sa plainte dans son analyse des faits pertinents et d’avoir passé délibérément sous silence que les assertions des époux D.________ sont mensongères alors qu’il a apporté la preuve de leur fausseté. Il ajoute que « prétendre que mes prétendus agissements auraient le même effet sur la famille D.________ que des délinquants, des voleurs ou des trafiquants est objectivement propre à mettre en doute mon honnêteté et ma moralité et me présente comme un être méprisable », que « ne relève ni de l’exagération ni de l’outrance le fait de prétendre qu’ils [les époux D.________] m’ont présenté comme un voyou ou, au vu de ma nationalité, comme un mafieux parce qu’objectivement, prétendre de quelqu’un qu’il [sic] crée un sentiment d’insécurité c’est effectivement le présenter comme tel » et que « ces allégations sont d’autant plus attentatoires à mon honneur qu’elles parlent ainsi d’un avocat qui a déjà pratiqué le barreau dans le passé et peut être amené à le faire dans le futur et qu’elles sont adressées à une autorité judiciaire » (recours, ch. 53 ss). Il en conclut que ces deux phrases sont bien attentatoires à son honneur. La Chambre ne saurait suivre les griefs du recourant. En effet, le Ministère public a précisément examiné les circonstances dans lesquelles ces phrases ont été formulées, pour retenir que s’agissant de déterminations adressées au Tribunal cantonal – dont les membres sont soumis au secret de fonction – dans le cadre d’une procédure judiciaire, de tels propos ne pouvaient être considérés comme attentatoires à l’honneur du recourant. L’appréciation du Ministère public ne souffre aucune critique. Non seulement, il a été retenu que, lors de l’établissement et l’envoi des deux écrits, les époux D.________ ont agi de bonne foi, mais également qu’ils avaient des raisons suffisantes de concevoir les soupçons qu’ils ont communiqués à la Chambre. En effet, il pouvait légitiment être retenu que C.________ et B.________ aient pu se sentir dans « un climat d’insécurité » dans le cadre du conflit de voisinage qui les oppose au recourant, émaillés de procédures tant pénales qu’administratives. A cet égard, comme l’a relevé fort justement le Ministère public, le fait que le recourant filme des enfants qui passent devant chez lui en rentrant de l’école et en les suivant le long du talus est un comportement à tout le moins dérangeant, voir effrayant. De plus, comme cela ressort de la jurisprudence précitée, la question n'est pas de savoir si le recourant a pu subjectivement interpréter ces propos comme le faisant passer pour une personne méprisable, mais l’interprétation objective de ces propos. A ce titre, il n’est pas inutile de relever, comme le Ministère public, que les époux D.________ n’insinuent pas que le climat en question concernerait tout le quartier ou d’autres voisins et qu’il serait assimilable à de la terreur. On est ainsi bien loin du comportement mafieux invoqué dans le recours. C'est donc à juste titre que le Ministère public a considéré que l'élément constitutif de l'atteinte à l'honneur au sens des art. 173 ss CP n'est manifestement pas rempli - les propos tenus dans les courriers incriminés ne paraissant pas plus choquants qu’injurieux - et n'est pas entré en matière sur la plainte. Les griefs sont partant mal fondés.</w:t>
      </w:r>
    </w:p>
    <w:p>
      <w:r>
        <w:rPr>
          <w:b/>
        </w:rPr>
        <w:t>E. 3.3</w:t>
      </w:r>
    </w:p>
    <w:p>
      <w:r>
        <w:t>Sur le vu de ce qui précède, le recours doit être rejeté et l’ordonnance de non-entrée en matière confirmée.</w:t>
      </w:r>
    </w:p>
    <w:p>
      <w:r>
        <w:t>Tribunal cantonal TC Page 6 de 6</w:t>
      </w:r>
    </w:p>
    <w:p>
      <w:r>
        <w:rPr>
          <w:b/>
        </w:rPr>
        <w:t>E. 4.1</w:t>
      </w:r>
    </w:p>
    <w:p>
      <w:r>
        <w:t>Les frais de la procédure de recours, arrêtés à CHF 600.- (émolument : CHF 500.- ; débours : CHF 100.-), sont mis à la charge du recourant qui succombe (art. 428 al. 1 CPP). Ils seront prélevés sur les sûretés versées.</w:t>
      </w:r>
    </w:p>
    <w:p>
      <w:r>
        <w:rPr>
          <w:b/>
        </w:rPr>
        <w:t>E. 4.2</w:t>
      </w:r>
    </w:p>
    <w:p>
      <w:r>
        <w:t>Aucune indemnité de partie n’est accordée au recourant qui succombe et à qui incombent les frais de procédure. Il n’est pas non plus alloué d’indemnité aux intimés, qui n’ont pas été invités à se déterminer dans le cadre de la procédure de recours. la Chambre arrête : I. Le recours est rejeté. Partant, l’ordonnance de non-entrée en matière prononcée par le Ministère public le 11 mars 2022 est confirmée. II. Les frais de la procédure de recours, arrêtés à CHF 600.- (émolument: CHF 500.-; débours: CHF 100.-), sont mis à la charge de A.________. Ils sont perçus sur l’avance de frais prestée. III. Aucune indemnité de partie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juin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