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252 vom 19. Dezember 2022</w:t>
      </w:r>
    </w:p>
    <w:p>
      <w:r>
        <w:t>FR Kantonsgericht, 2022-12-19, DE</w:t>
      </w:r>
    </w:p>
    <w:p>
      <w:r>
        <w:rPr>
          <w:b/>
        </w:rPr>
        <w:t xml:space="preserve">Quelle: </w:t>
      </w:r>
      <w:r>
        <w:t>https://mcp.opencaselaw.ch/entscheid/fr_gerichte_502_2022_252</w:t>
      </w:r>
    </w:p>
    <w:p>
      <w:r>
        <w:t>FR: FR_GERICHTE 502 2022 252 du 19 décembre 2022</w:t>
      </w:r>
    </w:p>
    <w:p>
      <w:r>
        <w:t>IT: FR_GERICHTE 502 2022 252 del 19 dicembre 2022</w:t>
      </w:r>
    </w:p>
    <w:p>
      <w:pPr>
        <w:pStyle w:val="Heading2"/>
      </w:pPr>
      <w:r>
        <w:t>Regeste</w:t>
      </w:r>
    </w:p>
    <w:p>
      <w:r>
        <w:t>Arrêt de la Chambre pénale du Tribunal cantonal | Ausstand (Art. 56-60 StPO; 18 JG)</w:t>
      </w:r>
    </w:p>
    <w:p>
      <w:pPr>
        <w:pStyle w:val="Heading2"/>
      </w:pPr>
      <w:r>
        <w:t>Erwägungen</w:t>
      </w:r>
    </w:p>
    <w:p>
      <w:r>
        <w:rPr>
          <w:b/>
        </w:rPr>
        <w:t>E. 1</w:t>
      </w:r>
    </w:p>
    <w:p>
      <w:r>
        <w:t>Le 6 juin 2022, la société D.________ SA (ci-après : la société) et son administrateur E.________ ont déposé plainte pénale contre F.________ et A.________ pour atteinte à l’honneur et violation de l’obligation de renseigner. En bref, ils exposent que l’épouse de F.________ a confié à la société divers travaux sur son véhicule, dont F.________ n’a pas été satisfait et l’ont amené à déposer une plainte pénale pour escroquerie contre E.________, qui s’est soldée par une ordonnance de non-entrée en matière. Il a également intenté une procédure civile où il a été débouté. Deux nouvelles plaintes pénales s’en sont suivies contre E.________, également sanctionnées par des ordonnances de classement, respectivement de non-entrée en matière. Dans un tract reçu le 22 mai 2022, E.________ a constaté qu’il est mis en cause pour avoir commis des méfaits et même des crimes envers F.________, ledit tract contenant sa photographie. Renvoi y est par ailleurs fait à un site internet (G.________) où, sous la plume de A.________, des termes attentatoires à l’honneur de E.________ sont formulés. Cette plainte pénale a été inscrite au rôle du Procureur général adjoint C.________, qui a écrit aux prévenus le 7 octobre 2022.</w:t>
      </w:r>
    </w:p>
    <w:p>
      <w:r>
        <w:rPr>
          <w:b/>
        </w:rPr>
        <w:t>E. 2</w:t>
      </w:r>
    </w:p>
    <w:p>
      <w:r>
        <w:t>Par pli commun daté du 24 octobre 2022, remis à la poste le 25 octobre 2022, F.________ et A.________ ont requis la récusation du Procureur Bourquin. Celui-ci a transmis cette demande à la Chambre pénale le 27 octobre 2022, avec sa détermination dans laquelle il a refusé de se récuser. Cette détermination a conduit F.________ et A.________ à répliquer spontanément par un écrit du</w:t>
      </w:r>
    </w:p>
    <w:p>
      <w:r>
        <w:rPr>
          <w:b/>
        </w:rPr>
        <w:t>E. 7</w:t>
      </w:r>
    </w:p>
    <w:p>
      <w:r>
        <w:t>Vu le rejet de la demande de récusation, les frais de la présente procédure, arrêtés à CHF 500.- (émolument : CHF 400.-; débours : CHF 100.-), sont mis solidairement à la charge des demandeurs (art. 59 al. 4 et 418 al. 2 CPP). la Chambre arrête : I. La demande de récusation des membres de la Chambre pénale du Tribunal cantonal est irrecevable. II. La demande de récusation du Procureur général adjoint C.________ est rejetée. III. Les frais judiciaires de la procédure de recours, arrêtés à CHF 500.- (émolument : CHF 400.-; débours : CHF 100.-), sont mis solidairement à la charge de A.________ et F.________.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décembre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