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191 vom 11. Oktober 2022</w:t>
      </w:r>
    </w:p>
    <w:p>
      <w:r>
        <w:t>FR Kantonsgericht, 2022-10-11, FR</w:t>
      </w:r>
    </w:p>
    <w:p>
      <w:r>
        <w:rPr>
          <w:b/>
        </w:rPr>
        <w:t xml:space="preserve">Quelle: </w:t>
      </w:r>
      <w:r>
        <w:t>https://mcp.opencaselaw.ch/entscheid/fr_gerichte_502_2022_191</w:t>
      </w:r>
    </w:p>
    <w:p>
      <w:r>
        <w:t>FR: FR_GERICHTE 502 2022 191 du 11 octobre 2022</w:t>
      </w:r>
    </w:p>
    <w:p>
      <w:r>
        <w:t>IT: FR_GERICHTE 502 2022 191 del 11 ottobre 2022</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CPP, 64 let. c et 85 al. 1 de la loi du 31 mai 2010 sur la justice (LJ; RSF 130.1), la voie du recours à la Chambre pénale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1'294.40, la cause sera tranchée par le Président de la Chambre pénale.</w:t>
      </w:r>
    </w:p>
    <w:p>
      <w:r>
        <w:t>Tribunal cantonal TC Page 3 de 6</w:t>
      </w:r>
    </w:p>
    <w:p>
      <w:r>
        <w:rPr>
          <w:b/>
        </w:rPr>
        <w:t>E. 1.2</w:t>
      </w:r>
    </w:p>
    <w:p>
      <w:r>
        <w:t>Selon les art. 322 al. 2 et 396 al. 1 CPP, le recours est adressé par écrit dans le délai de dix jours à l’autorité de recours. L’ordonnance attaquée a été notifiée au recourant le 4 août 2022 de sorte que le recours, déposé à La Poste le 15 août 2022, l’a été en temps utile.</w:t>
      </w:r>
    </w:p>
    <w:p>
      <w:r>
        <w:rPr>
          <w:b/>
        </w:rPr>
        <w:t>E. 1.3</w:t>
      </w:r>
    </w:p>
    <w:p>
      <w:r>
        <w:t>Le recourant, à qui les frais ont été mis à charge, est directement touché par l’ordonnance de classement et a ainsi la qualité pour recourir (art. 382 al. 1 CPP).</w:t>
      </w:r>
    </w:p>
    <w:p>
      <w:r>
        <w:rPr>
          <w:b/>
        </w:rPr>
        <w:t>E. 1.4</w:t>
      </w:r>
    </w:p>
    <w:p>
      <w:r>
        <w:t>Le recours doit être motivé et doté de conclusions pour être formellement recevable (art. 396 al. 1 et 385 al. 1 CPP), ce qui est le cas en l’occurrence.</w:t>
      </w:r>
    </w:p>
    <w:p>
      <w:r>
        <w:rPr>
          <w:b/>
        </w:rPr>
        <w:t>E. 1.5</w:t>
      </w:r>
    </w:p>
    <w:p>
      <w:r>
        <w:t>Il sera statué sans débats (art. 397 al. 1 CPP).</w:t>
      </w:r>
    </w:p>
    <w:p>
      <w:r>
        <w:rPr>
          <w:b/>
        </w:rPr>
        <w:t>E. 2</w:t>
      </w:r>
    </w:p>
    <w:p>
      <w:r>
        <w:t>Concernant le contexte légal, l’art. 55 al. 2 de la loi fédérale sur la circulation routière du 19 décembre 1958 (LCR;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du 28 mars 2007 sur le contrôle de la circulation routière (OCCR, RS 741.013),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du recourant alors même qu’aucune infraction à la LCR n’a été commise.</w:t>
      </w:r>
    </w:p>
    <w:p>
      <w:r>
        <w:rPr>
          <w:b/>
        </w:rPr>
        <w:t>E. 3.1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rPr>
          <w:b/>
        </w:rPr>
        <w:t>E. 3.2</w:t>
      </w:r>
    </w:p>
    <w:p>
      <w:r>
        <w:t>Le Ministère public a mis à la charge du recourant les frais des analyses toxicologiques effectuées sur sa personne, au motif que c’est lui qui les a provoqués et doit donc supporter les frais qui y sont liés.</w:t>
      </w:r>
    </w:p>
    <w:p>
      <w:r>
        <w:rPr>
          <w:b/>
        </w:rPr>
        <w:t>E. 3.3</w:t>
      </w:r>
    </w:p>
    <w:p>
      <w:r>
        <w:t>Dans le cadre de son recours, A.________ allègue que l’ordonnance querellée applique l’art. 426 al. 2 CPP de manière insoutenable et viole la présomption d’innocence, garantie par les art. 10 CPP, 31 al. 1 Cst., 13 par. 2 Pacte ONU II et 6 par. 2 CEDH, ainsi que son corollaire, le principe « in dubio pro reo », concernant tant le fardeau de la preuve que l’appréciation des preuves au sens large. Selon lui, afin de respecter le principe de légalité, le Ministère public aurait dû être en mesure de pouvoir prouver qu’il a eu un comportement illicite ou fautif. Or, le Procureur a fondé sa décision de mettre à sa charge les frais d’analyses toxicologiques au motif qu’il y aurait eu des indices sérieux d’une incapacité de conduire. Ce faisant, ce dernier lui impute tous les éléments constitutifs d’une incapacité de conduire et de la nécessité d’ordonner une prise de sang, non sans citer aucune norme juridique suisse enfreinte, se bornant à invoquer le résultat positif du test préliminaire qui accréditerait la suspicion de l’incapacité de conduire un véhicule. Pour le recourant, cette manière de procéder viole la présomption d’innocence dans la mesure où le choix du Procureur de lui imputer les frais de procédure repose avant tout sur une erreur d’appréciation des policiers.</w:t>
      </w:r>
    </w:p>
    <w:p>
      <w:r>
        <w:t>Tribunal cantonal TC Page 4 de 6</w:t>
      </w:r>
    </w:p>
    <w:p>
      <w:r>
        <w:rPr>
          <w:b/>
        </w:rPr>
        <w:t>E. 3.4</w:t>
      </w:r>
    </w:p>
    <w:p>
      <w:r>
        <w:t>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 La consommation de stupéfiants est illégale en Suisse (art. 19a LStup) et la situation d’un con- ducteur dont la valeur limite de stupéfiants dans le sang n’a pas été atteinte n’est dès lors pas com- parable à celle de l’automobiliste circulant avec un taux d’alcoolémie inférieur à 0,5 ‰. Ainsi, dans le cas d’une procédure ouverte pour conduite en état d’incapacité, le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ou encore lorsque le prévenu présente des signes évidents de consommation de stupéfiants (teint blême), est en possession de 2 g de haschisch et admet avoir consommé cette substance la veille, à 18h00, et de manière occasionnelle (2 g par mois) depuis une année, ceci sans qu’un test Drugwipe n’ait été pratiqué (arrêt TC FR 502 2021 28 du 22 mars 2021). En revanche, la Chambre pénale a refusé de mettre les frais à la charge du prévenu acquitté dans une affaire où il ressortait du dossier que le teint blême était le seul indice physique et comportemental indiquant une incapacité de conduire ; aucune substance n'avait été trouvée lors de la fouille du véhicule et de la personne et le prévenu a déclaré avoir consommé un joint de haschisch 21 heures avant le contrôle. Les indices d’une infraction à la</w:t>
      </w:r>
    </w:p>
    <w:p>
      <w:r>
        <w:t>Tribunal cantonal TC Page 5 de 6 LCR étaient alors trop ténus. Un état de fait si incertain nécessitait alors à tout le moins, comme mesure préalable, d’effectuer un test moins coûteux, de type DrugWipe, qui aurait permis de savoir si les frais supplémentaires liés aux examens de l’urine et du sang se justifiaient ou non (arrêt TC FR 502 2020 220 du 20 novembre 2020).</w:t>
      </w:r>
    </w:p>
    <w:p>
      <w:r>
        <w:rPr>
          <w:b/>
        </w:rPr>
        <w:t>E. 3.5</w:t>
      </w:r>
    </w:p>
    <w:p>
      <w:r>
        <w:t>En l’espèce, il ressort du rapport de police que lors du contrôle, le 19 mars 2022, à 16h50, le prévenu présentait des signes d’une consommation récente de stupéfiants (pupilles rétrécies, teint pâle et élocution rapide). Ayant spontanément déclaré consommer quotidiennement 3 à 4 joints de CBD et prendre du Tramal, A.________ s’est soumis à un test salivaire DrugWipe, qui s’est révélé positif au cannabis et opiacés. Il était dès lors du devoir de la Police de procéder aux investigations permettant de déterminer si le prévenu conduisait son motocycle sous l’emprise de stupéfiants. Il ne faut en outre pas perdre de vue que, quand bien même les résultats de l’analyse toxicologique ont dû amener l’autorité pénale à retenir que la concentration de Tramadol dans le sang (analgésique opioïde) se situait en dessous de la valeur limite, il a tout de même été constaté la présence d’opiacés, de Tramadol et de Tapentadol dans l’urine de l’intéressé. Ainsi, c’est bien les indices physiques de consommation de stupéfiants et le résultat du test salivaire qui ont amené la Police à demander qu’une expertise toxicologique soit ordonnée. Le recourant a dès lors clairement provoqué, inutilement et illicitement, les prélèvements et analyses dont les frais sont contestés. Dans ces conditions et au vu de la jurisprudence sus-indiquée (supra consid. 3.4), des éléments suffisants justifiaient un contrôle de détection de stupéfiants et conséquemment la mise des frais y relatifs à la charge de la personne contrôlée.</w:t>
      </w:r>
    </w:p>
    <w:p>
      <w:r>
        <w:rPr>
          <w:b/>
        </w:rPr>
        <w:t>E. 3.6</w:t>
      </w:r>
    </w:p>
    <w:p>
      <w:r>
        <w:t>Partant, l’ordonnance attaquée du Ministère public ne prête pas le flanc à la critique et le recours doit être rejeté.</w:t>
      </w:r>
    </w:p>
    <w:p>
      <w:r>
        <w:rPr>
          <w:b/>
        </w:rPr>
        <w:t>E. 4</w:t>
      </w:r>
    </w:p>
    <w:p>
      <w:r>
        <w:t>Vu l’issue du pourvoi et application des art. 428 al. 1 CPP, 33 ss et 43 du règlement sur la justice (RJ ; RSF 130.11), les frais de la procédure de recours, arrêtés à CHF 300.- (émolument : CHF 250.- ; débours : CHF 50.-), sont mis à la charge de A.________. (dispositif en page suivante)</w:t>
      </w:r>
    </w:p>
    <w:p>
      <w:r>
        <w:t>Tribunal cantonal TC Page 6 de 6 la Chambre arrête : I. Le recours est rejeté. Partant, l’ordonnance de classement du Ministère public du 28 juillet 2022 est confirmée. II. Les frais de la procédure de recours, arrêtés à CHF 300.- (émolument : CHF 250.- ; débours : CHF 50.-), sont mis à la charge de A.________.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11 octobre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