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170 vom 26. September 2022</w:t>
      </w:r>
    </w:p>
    <w:p>
      <w:r>
        <w:t>FR Kantonsgericht, 2022-09-26, DE</w:t>
      </w:r>
    </w:p>
    <w:p>
      <w:r>
        <w:rPr>
          <w:b/>
        </w:rPr>
        <w:t xml:space="preserve">Quelle: </w:t>
      </w:r>
      <w:r>
        <w:t>https://mcp.opencaselaw.ch/entscheid/fr_gerichte_502_2022_170</w:t>
      </w:r>
    </w:p>
    <w:p>
      <w:r>
        <w:t>FR: FR_GERICHTE 502 2022 170 du 26 septembre 2022</w:t>
      </w:r>
    </w:p>
    <w:p>
      <w:r>
        <w:t>IT: FR_GERICHTE 502 2022 170 del 26 settembre 2022</w:t>
      </w:r>
    </w:p>
    <w:p>
      <w:pPr>
        <w:pStyle w:val="Heading2"/>
      </w:pPr>
      <w:r>
        <w:t>Regeste</w:t>
      </w:r>
    </w:p>
    <w:p>
      <w:r>
        <w:t>Urteil der Strafkammer des Kantonsgerichts | Einstellung des Verfahrens (Art. 319 ff. StPO)</w:t>
      </w:r>
    </w:p>
    <w:p>
      <w:pPr>
        <w:pStyle w:val="Heading2"/>
      </w:pPr>
      <w:r>
        <w:t>Erwägungen</w:t>
      </w:r>
    </w:p>
    <w:p>
      <w:r>
        <w:rPr>
          <w:b/>
        </w:rPr>
        <w:t>E. 1.1</w:t>
      </w:r>
    </w:p>
    <w:p>
      <w:r>
        <w:t>Gegen Einstellungsverfügungen kann innert 10 Tagen bei der Strafkammer Beschwerde geführt werden (Art. 20 Abs. 1 Bst. b, Art. 322 Abs. 2 StPO; Art. 64 Bst. c JG). Aus den Akten ist nicht ersichtlich, wann der Beschwerdeführer die angefochtene Verfügung erhalten hat. Die am 15. Juli 2022 der Post übergebene Beschwerdeschrift gilt so oder anders als rechtzeitig eingereicht.</w:t>
      </w:r>
    </w:p>
    <w:p>
      <w:r>
        <w:rPr>
          <w:b/>
        </w:rPr>
        <w:t>E. 1.2</w:t>
      </w:r>
    </w:p>
    <w:p>
      <w:r>
        <w:t>Die Beschwerde wird in einem schriftlichen Verfahren behandelt (Art. 397 Abs. 1 StPO). Die Strafkammer verfügt dabei grundsätzlich über volle Kognition (Art. 391 Abs. 1, 393 Abs. 2 StPO).</w:t>
      </w:r>
    </w:p>
    <w:p>
      <w:r>
        <w:rPr>
          <w:b/>
        </w:rPr>
        <w:t>E. 1.3.1</w:t>
      </w:r>
    </w:p>
    <w:p>
      <w:r>
        <w:t>Ein Rechtsmittel nach der StPO kann jede Partei ergreifen, die ein rechtlich geschütztes Inte- resse an der Aufhebung oder Änderung eines Entscheids hat (Art. 382 Abs. 1 StPO). Partei ist auch die Privatklägerschaft (Art. 104 Abs. 1 Bst. b StPO). Als Privatklägerschaft gilt die geschädigte Person, die ausdrücklich erklärt, sich am Strafverfahren als Straf- oder Zivilklägerin zu beteiligen (Art. 118 Abs. 1 StPO). Der Strafantrag ist dieser Erklärung gleichgestellt (Art. 118 Abs. 2 StPO). Als geschädigte Person gilt die Person, die durch die Straftat in ihren Rechten unmittelbar verletzt worden ist (Art. 115 Abs. 1 StPO). In seinen Rechten unmittelbar verletzt ist, wer Träger des durch die verletzte Strafnorm geschützten oder zumindest mitgeschützten Rechtsgutes ist. Bei Strafnormen, die nicht primär Individualrechts- güter schützen, gelten praxisgemäss nur diejenigen Personen als Geschädigte, die durch die darin umschriebenen Tatumstände in ihren Rechten beeinträchtigt werden, sofern diese Beeinträchtigung unmittelbare Folge der tatbestandsmässigen Handlung ist. Im Allgemeinen genügt es, wenn das von der geschädigten Person angerufene Individualrechtsgut durch den verletzten Straftatbestand auch nur nachrangig oder als Nebenzweck geschützt wird, selbst wenn der Tatbestand in erster Linie dem Schutz von kollektiven Rechtsgütern dient. Werden indes durch Delikte, die nur öffentliche Interes- sen verletzen, private Interessen bloss mittelbar beeinträchtigt, ist der Betroffene nicht Geschädigter im Sinne des Strafprozessrechts (BGE 147 IV 269 E. 3.1; 145 IV 491 E. 2.3.1; 141 IV 454 E. 2.3.1; 140 IV 155 E. 3.2; Urteile BGer 6B_562/2021 vom 7. April 2022 E. 3.2 und 3.5, zur Publ. vorgesehen; 6B_297/2018 vom 6. September 2018 E. 4.3; je m.H.). Die Tatbestände des Urkundenstrafrechts dienen dem Schutz von Sicherheit und Zuverlässigkeit des Rechtsverkehrs mit Urkunden. Sie bezwecken somit in erster Linie den Schutz der Allgemein- heit. Geschütztes Rechtsgut der Urkundendelikte ist das besondere Vertrauen, welches von den Teilnehmern am Rechtsverkehr einer Urkunde als Beweismittel entgegengebracht wird. Neben der</w:t>
      </w:r>
    </w:p>
    <w:p>
      <w:r>
        <w:t>Kantonsgericht KG Seite 4 von 5 Allgemeinheit schützt der Tatbestand der Urkundenfälschung auch private Interessen des Einzel- nen, soweit das Fälschungsdelikt sich auf die Benachteiligung einer bestimmten Person richtet. Dies ist namentlich der Fall, wenn das Urkundendelikt auf die Verfolgung eines weitergehenden, wirt- schaftlichen Zwecks abzielt und insofern als blosse Vorbereitungshandlung eines schädigenden Vermögensdelikts erscheint. Dabei schützt der Tatbestand den Einzelnen davor, durch Scheinerklä- rungen oder qualifiziert unrichtige Erklärungen getäuscht und dadurch zu nachteiligen rechtserheb- lichen Dispositionen veranlasst zu werden (BGE 147 IV 269 E. 3.3; 140 IV 155 E. 3.3.3; Urteile BGer 6B_562/2021 vom 7. April 2022 E. 3.5, zur Publ. vorgesehen; 6B_297/2018 vom 6. September 2018 E. 4.4.1; je m.H.).</w:t>
      </w:r>
    </w:p>
    <w:p>
      <w:r>
        <w:rPr>
          <w:b/>
        </w:rPr>
        <w:t>E. 1.3.2</w:t>
      </w:r>
    </w:p>
    <w:p>
      <w:r>
        <w:t>Der Beschwerdeführer führte im vorinstanzlichen Verfahren zwar unter anderem aus, dass er in Dubai wegen Übergabe ungedeckter Schecks zu drei Jahren Gefängnis verurteilt worden sei und der Verdacht bestehe, dass B.________ und C.________ sich bei Unterzeichnung der Schecks bewusst gewesen seien und in Kauf genommen haben, dass ihm in Dubai das dargelegte Szenario drohen werde (vgl. act. 2000 ff., 9014 ff.). In seiner Beschwerde beruft er sich jedoch einzig noch darauf, dass die Beschuldigten drei der Scheckformulare am 29. August 2017 eigenmächtig datiert, auf der Rückseite unterzeichnet und daraufhin der bezogenen Bank in Dubai zur Zahlung vorlegen liessen. Das Strafverfahren in Dubai wird mit keinem Wort erwähnt. Was das angebliche eigenmäch- tige datieren und bei der Bank zur Zahlung vorlegen lassen der Schecks betrifft, so ist der Beschwer- deführer nicht geschädigte Person, sondern die E.________. Der Beschwerdeführer macht selber geltend, dass er diese Scheckformulare lediglich in seiner Funktion als Geschäftsführer der E.________ unterzeichnet hat. Diesbezüglich ist er somit höchstens indirekt geschädigt und nicht zur Beschwerde legitimiert. Der Beschwerdeführer wäre einzig betreffend das Benutzen der Schecks im Strafverfahren in Dubai in seinen eigenen Interessen betroffen, was er jedoch – wie erwähnt – in seiner Beschwerde nicht mehr geltend macht. Diesbezüglich ist ausserdem festzuhalten, dass die Strafanzeige in Dubai nicht von B.________ oder C.________ eingereicht wurde, sondern von einem gewissen G.________ (act. 2055, 9033). Der Beschwerdeführer bestreitet denn auch die Erwägung der Staatsanwaltschaft nicht substantiiert, dass die von ihm geltend gemachten Rechtsverletzungen im Strafverfahren in Dubai den Beschuldigten nicht vorgehalten werden können (vgl. auch Art. 385 Abs. 1 und Art. 396 Abs. 1 StPO). Darüber hinaus handelt es sich bei G.________ um einen ägyptischen Staatsange- hörigen mit Wohnsitz in Dubai (act. 2056 f., 9035). Beim Beschwerdeführer handelt es sich um einen schwedischen Staatsangehörigen mit Wohnsitz in Schweden (act. 2005). Der Beschwerdeführer legt nicht dar und es ist auch nicht ersichtlich, warum die von einem in Dubai wohnhaften ägyptischen Staatsangehörigen in Dubai gegen einen in Schweden wohnhaften schwedischen Staatsangehöri- gen angeblich begangene Straftat in der Schweiz verfolgt werden soll, zumal auch nicht behauptet wird, dass sich der Täter in der Schweiz aufhält (vgl. Art. 3 ff. StGB). Dass die angebliche Blankett- fälschung (Art. 251 Ziff. 1 Abs. 2 StGB) angeblich in der Schweiz erfolgt ist, kann diesbezüglich nicht genügen, da die Benutzung der angeblich gefälschten Urkunde durch eine Drittperson eine eigen- ständige Straftat darstellt (Art. 251 Ziff. 1 Abs. 3 StGB; vgl. BGE 120 IV 122 E. 5c/cc). Auf die Beschwerde ist somit nicht einzutreten.</w:t>
      </w:r>
    </w:p>
    <w:p>
      <w:r>
        <w:rPr>
          <w:b/>
        </w:rPr>
        <w:t>E. 2</w:t>
      </w:r>
    </w:p>
    <w:p>
      <w:r>
        <w:t>Die Beschwerde wäre jedoch ohnehin abzuweisen. Gemäss der bundesgerichtlichen Rechtspre- chung ist im Vermögensbereich das Strafrecht subsidiär zum Zivilrecht. Es obliegt in erster Linie</w:t>
      </w:r>
    </w:p>
    <w:p>
      <w:r>
        <w:t>Kantonsgericht KG Seite 5 von 5 dem Zivilrecht, die vertraglichen und ausservertraglichen Beziehungen zwischen den Personen zu regeln (BGE 141 IV 71 E. 7). Wie bereits die Staatsanwaltschaft in der angefochtenen Verfügung festgehalten hat, handelt es sich bei der Frage, ob die Beschuldigten die Schecks datieren und zur Zahlung vorlegen durften, um eine rein zivilrechtliche Streitigkeit, was vom Beschwerdeführer nicht substantiiert bestritten wird. Es ist eine Frage der Vertragsauslegung, ob die Beschuldigten zum Datieren und zur Zahlung vorlegen der Schecks befugt waren oder nicht. Es liegt nicht an den Strafbehörden, über diese komplexe zivilrechtliche Streitigkeit zu entscheiden.</w:t>
      </w:r>
    </w:p>
    <w:p>
      <w:r>
        <w:rPr>
          <w:b/>
        </w:rPr>
        <w:t>E. 3</w:t>
      </w:r>
    </w:p>
    <w:p>
      <w:r>
        <w:t>Nach Art. 428 Abs. 1 StPO tragen die Parteien die Kosten des Rechtsmittelverfahrens nach Massga- be ihres Obsiegens oder Unterliegens. Vorliegend wird nicht auf die Beschwerde eingetreten. Die Verfahrenskosten von CHF 500.- (Gerichtsgebühr: CHF 400.-; Auslagen: CHF 100.-) sind demnach dem Beschwerdeführer aufzuerlegen. Die Beschuldigten wurden nicht vernommen, womit keine Parteientschädigung zu sprechen ist. Die Kammer erkennt: I. Auf die Beschwerde wird nicht eingetreten. II. Die Verfahrenskosten werden auf CHF 500.- (Gerichtsgebühr: CHF 400.-; Auslagen: CHF 100.-) festgesetzt und A.________ auferlegt. III. Es wird keine Parteientschädigung gesprochen. IV. Zustellung. Dieses Urteil kann innert 30 Tagen nach seiner Eröffnung mit Beschwerde in Strafsachen beim Bundesgericht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Freiburg, 26. September 2022/sig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