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92 vom 21. September 2021</w:t>
      </w:r>
    </w:p>
    <w:p>
      <w:r>
        <w:t>FR Kantonsgericht, 2021-09-21, FR</w:t>
      </w:r>
    </w:p>
    <w:p>
      <w:r>
        <w:rPr>
          <w:b/>
        </w:rPr>
        <w:t xml:space="preserve">Quelle: </w:t>
      </w:r>
      <w:r>
        <w:t>https://mcp.opencaselaw.ch/entscheid/fr_gerichte_502_2021_92</w:t>
      </w:r>
    </w:p>
    <w:p>
      <w:r>
        <w:t>FR: FR_GERICHTE 502 2021 92 du 21 septembre 2021</w:t>
      </w:r>
    </w:p>
    <w:p>
      <w:r>
        <w:t>IT: FR_GERICHTE 502 2021 92 del 21 settembre 2021</w:t>
      </w:r>
    </w:p>
    <w:p>
      <w:pPr>
        <w:pStyle w:val="Heading2"/>
      </w:pPr>
      <w:r>
        <w:t>Regeste</w:t>
      </w:r>
    </w:p>
    <w:p>
      <w:r>
        <w:t>Arrêt de la Chambre pénale du Tribunal cantonal | Amtliche Verteidigung (Art. 132 f. StPO; 143 JG)</w:t>
      </w:r>
    </w:p>
    <w:p>
      <w:pPr>
        <w:pStyle w:val="Heading2"/>
      </w:pPr>
      <w:r>
        <w:t>Erwägungen</w:t>
      </w:r>
    </w:p>
    <w:p>
      <w:r>
        <w:rPr>
          <w:b/>
        </w:rPr>
        <w:t>E. 1.1</w:t>
      </w:r>
    </w:p>
    <w:p>
      <w:r>
        <w:t>Le défenseur d’office peut recourir contre la décision du tribunal de première instance fixant son indemnité (art. 135 al. 3 lit. a CPP). Dans la mesure où seule l’indemnité est contestée, l’autorité de recours, à savoir la Chambre pénale du Tribunal cantonal, est compétente (art. 85 al. 1 LJ; arrêt TC FR 502 2016 261 du 15 mai 2017 in RFJ 2017 p. 392).</w:t>
      </w:r>
    </w:p>
    <w:p>
      <w:r>
        <w:rPr>
          <w:b/>
        </w:rPr>
        <w:t>E. 1.2</w:t>
      </w:r>
    </w:p>
    <w:p>
      <w:r>
        <w:t>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(MOREILLON/PAREIN-REYMOND, PC CPP, 2e éd., 2016, art. 395 n. 7; SCHMID, Handbuch des schweizerischen Strafprozessrechts, 2e éd., 2013, n. 1521). Le montant litigieux correspond à la différence entre le montant réclamé par le défenseur d’office et la somme allouée par la décision attaquée (BSK StPO-STEPHENSON/THIRIET, art. 395 n. 6). En l’espèce, Me A.________ réclame une</w:t>
      </w:r>
    </w:p>
    <w:p>
      <w:r>
        <w:t>Tribunal cantonal TC Page 3 de 7 somme de CHF 10'836.15 alors que le Tribunal pénal a fixé sa rémunération à CHF 8'358.60. Le montant litigieux est ainsi de CHF 2'477.55. Le Vice-Président peut dès lors statuer seul sur le recours.</w:t>
      </w:r>
    </w:p>
    <w:p>
      <w:r>
        <w:rPr>
          <w:b/>
        </w:rPr>
        <w:t>E. 1.3</w:t>
      </w:r>
    </w:p>
    <w:p>
      <w:r>
        <w:t>Le recours doit être adressé par écrit, dans le délai de dix jours, à l’autorité de recours (art. 396 al. 1 CPP) dès la notification du jugement motivé par écrit (ATF 143 IV 40). Le recourant a reçu la décision querellée le 19 avril 2021, si bien que le recours remis à un bureau de poste suisse le 29 avril 2021 a été déposé en temps utile.</w:t>
      </w:r>
    </w:p>
    <w:p>
      <w:r>
        <w:rPr>
          <w:b/>
        </w:rPr>
        <w:t>E. 1.4</w:t>
      </w:r>
    </w:p>
    <w:p>
      <w:r>
        <w:t>Doté de conclusions et motivé (art. 396 al. 1 CPP), le recours est recevable en la forme.</w:t>
      </w:r>
    </w:p>
    <w:p>
      <w:r>
        <w:rPr>
          <w:b/>
        </w:rPr>
        <w:t>E. 2.1</w:t>
      </w:r>
    </w:p>
    <w:p>
      <w:r>
        <w:t>En raison du rapport juridique de droit public créé entre le défenseur et l’Etat, c’est à ce dernier qu’incombe toujours la rémunération du défenseur d’office (ATF 141 I 124 consid. 3.1). Le défenseur d’office est indemnisé conformément au tarif des avocats de la Confédération ou du canton du for du procès. Si cette réglementation prévoit un tarif réduit, celui-ci s’applique sans égard à l’issue du procès (ATF 139 IV 261 consid. 2). Une indemnisation sur une base forfaitaire est aussi acceptable (ATF 141 I 124 consid. 4.3). L’indemnité peut être inférieure à la rémunération du défenseur privé, mais doit non seulement couvrir les frais généraux de l’avocat, mais aussi lui permettre d’obtenir un revenu modeste qui ne soit pas uniquement symbolique (ATF 141 I 124). Le calcul n’englobe toutefois pas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(ATF 143 IV 214; JEANNERET/KUHN, Précis de procédure pénale, 2e éd., n. 7009b et les références). Selon la jurisprudence relative à l’article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w:t>
      </w:r>
    </w:p>
    <w:p>
      <w:r>
        <w:t>Tribunal cantonal TC Page 4 de 7 références.).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w:t>
      </w:r>
    </w:p>
    <w:p>
      <w:r>
        <w:rPr>
          <w:b/>
        </w:rPr>
        <w:t>E. 2.2</w:t>
      </w:r>
    </w:p>
    <w:p>
      <w:r>
        <w:t>Dans le canton de Fribourg, le défenseur d'office est indemnisé selon le tarif concernant les indemnités allouées aux défenseurs d'office en matière d'assistance judiciaire (cf. art. 143 al. 2 LJ; ATF 139 IV 261). Les art. 56 ss RJ règlent notamment l’indemnité horaire de l’avocat d’office breveté (art. 57 al. 2 RJ), les critères de fixation (art. 57 al. 1 RJ), les débours (art. 58 RJ), etc. Ainsi, le tarif horaire est de CHF 180.-. Si l'affaire a été essentiellement traitée par un ou une stagiaire, les opérations qu'il ou elle a menées sont rémunérées sur la base d'une indemnité horaire de CHF 120.-; la liste de frais indique quelles opérations ont été menées par des stagiaires (art. 57 al. 2 RJ). Le coût du travail de la secrétaire est compris dans l'honoraire horaire de l'avocat, ce qui conduit à écarter les travaux de dactylographie notamment.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 voire exceptionnellement de CHF 700.- (cf. art. 67 RJ relatif aux dépens). Une pratique constante des autorités judiciaires applique cette règle par analogie en matière d'indemnité pour une défense d'office. Enfin, le taux de la TVA est de 7.7 % (art. 25 al. 1 de la loi du 12 juin 2009 sur la TVA [LTVA ; RS 641.20]).</w:t>
      </w:r>
    </w:p>
    <w:p>
      <w:r>
        <w:rPr>
          <w:b/>
        </w:rPr>
        <w:t>E. 3.1</w:t>
      </w:r>
    </w:p>
    <w:p>
      <w:r>
        <w:t>En l’espèce, Me A.________ soutenait dans sa liste de frais du 23 février 2021 que lui et son avocate-stagiaire avaient consacré quelque 45 heures et 30 minutes à ce mandat. Le Tribunal pénal lui a alloué une indemnité de CHF 6'360.- correspondant à un peu plus de 35 heures de travail. S’agissant de l’activité de l’avocat, il a refusé d’indemniser deux heures de conférence, a réduit de 60 à 15 minutes le temps consacré le 8 février 2021 à des recherches juridiques, a indemnisé à hauteur de 115 minutes au lieu des 6 heures notées le temps de la séance de jugement du 24 février 2021, et a ajouté une heure pour les opérations postérieures au jugement. Il a également réduit ou supprimé certaines opérations effectuées par l’avocate-stagiaire.</w:t>
      </w:r>
    </w:p>
    <w:p>
      <w:r>
        <w:rPr>
          <w:b/>
        </w:rPr>
        <w:t>E. 3.2</w:t>
      </w:r>
    </w:p>
    <w:p>
      <w:r>
        <w:t>Dans son recours, Me A.________ maintient l’indemnisation qu’il avait sollicitée le 23 février 2021, soit CHF 10'836.15 TVA comprise. Il ne conteste pas que l’une des principales réductions opérées par le Tribunal pénal, soit le temps consacré à la séance du 24 février 2021, était justifiée. Mais il estime que cette perte est compensée par le temps qu’il a dû consacrer aux opérations postérieures au jugement, qu’il fixe à 5 heures, exposant qu’il a dû s’assurer, notamment par une visite en prison, que B.________ avait pleinement saisi la portée d’un retrait de l’annonce d’appel.</w:t>
      </w:r>
    </w:p>
    <w:p>
      <w:r>
        <w:t>Tribunal cantonal TC Page 5 de 7 Il n’expose toutefois pas plus précisément en quoi ont consisté ces 5 heures de travail, par exemple en indiquant le temps de la conférence avec sa cliente ou celui consacré à tel ou tel courrier. C’était pourtant le minimum qu’il pouvait être attendu de sa part. Ce grief sera dès lors rejeté.</w:t>
      </w:r>
    </w:p>
    <w:p>
      <w:r>
        <w:rPr>
          <w:b/>
        </w:rPr>
        <w:t>E. 3.3</w:t>
      </w:r>
    </w:p>
    <w:p>
      <w:r>
        <w:t>Le Tribunal pénal a refusé d’indemniser deux conférences, chacune d’une heure, entre l’avocat et B.________ qui se sont déroulées les 16 décembre 2020 et 26 janvier 2021 en prison, relevant qu’il n’y avait pas d’audience ou de séance à préparer. Me A.________ rétorque qu’étant tenu au secret professionnel, il ne peut pas expliquer le contenu et le motif de ces entretiens. Il précise cela étant que B.________ souffrait de troubles mentaux et de comportements liés à l’utilisation de drogue, et qu’il s’agissait de déterminer quelle sanction pénale était la plus appropriée. Le dossier fait état de nombreuses évolutions par rapport à sa prise en charge, ses projets professionnels et son éventuelle guérison, de sorte que la gestion diligente du mandat ne se limitait pas à une furtive et unique rencontre à l’aune du jugement. Cela est d’autant plus vrai que B.________ avait indiqué avoir été violée par plusieurs individus lors de sa fugue de la fondation où elle exécutait sa mesure. S’il est vrai que le Tribunal pénal doit effectivement veiller à ce que des conférences nombreuses et non indispensables ne soient pas indemnisées par l’assistance judiciaire, il faut relever en l’espèce que Me A.________ n’a pas abusé de telles opérations. Le mandat a duré de septembre 2019 à février 2021. Durant ce laps de temps, l’avocat ou son avocate-stagiaire ont rencontré cinq fois la prévenue en prison (23 septembre 2019 avant une séance de réseau; 20 octobre 2020 [opération biffée par le Tribunal pénal]; 16 décembre 2020 [opération biffée par le Tribunal pénal]; 26 janvier 2021 [opération biffée par le Tribunal pénal]; 22 février 2021) et deux fois avant des séances (30 minutes le 17 septembre 2019; 15 minutes accordées pour le 24 février 2021; aucune conférence cliente n’a été notée en lien avec l’« audience MP » du 24 septembre 2020). A suivre le premier juge, aucun entretien en prison ne se justifiait entre Me A.________ et B.________ entre le 23 septembre 2019 et le 22 février 2021, soit pendant 17 mois. Cette approche est manifestement trop rigoureuse. Il faut aussi noter que les entretiens étaient relativement brefs, soit une heure à chaque fois, ce qui démontre que l’avocat a sans doute su faire preuve d’efficience. Ces deux heures de conférence seront dès lors rémunérées. Il en va de même de la conférence de 30 minutes du 20 octobre 2020 entre l’avocate-stagiaire et la prévenue. Me A.________ expose dans son recours que cet entretien – par ailleurs bref – s’est déroulé à la suite de la révocation de la mesure thérapeutique institutionnelle et de la mise en détention provisoire de B.________. Il ne s’agit partant pas d’une opération superflue. Le grief est bien fondé.</w:t>
      </w:r>
    </w:p>
    <w:p>
      <w:r>
        <w:rPr>
          <w:b/>
        </w:rPr>
        <w:t>E. 3.4</w:t>
      </w:r>
    </w:p>
    <w:p>
      <w:r>
        <w:t>Le Tribunal pénal a réduit de 60 à 15 minutes les recherches juridiques du 1er février 2021 relatives à la qualité de partie plaignante, relevant qu’il ne faut pas davantage de temps pour extraire deux références des Petits commentaires et citer deux ATF. Me A.________ expose que la recherche juridique à laquelle il s’était alors livré était plus large, la jurisprudence en la matière étant nuancée, ce qui ressort du fait que le Tribunal pénal a cité d’autres jurisprudences fédérales que celles indiquées le 1er février 2021 dans son jugement. Dans sa détermination du 1er février 2021, Me A.________ exposait que plusieurs plaintes pénales avaient été déposées par des personnes morales mais avaient été établies par des personnes ne disposant pas des pouvoirs de les représenter, de sorte que ces plaintes pénales devaient être classées. Il a cité deux passages du PC CP et du PC CPP, et deux ATF.</w:t>
      </w:r>
    </w:p>
    <w:p>
      <w:r>
        <w:t>Tribunal cantonal TC Page 6 de 7 Il sera tout d’abord relevé que le temps consacré à l’établissement de la détermination du 1er février 2021 a été indemnisé en plus de la recherche juridique. Ensuite, la problématique analysée, soit savoir qui est habilité à déposer une plainte pénale au nom d’une personne morale, est connue et l’exposé de Me A.________ du 1er février 2021 ne fait nullement ressortir des nuances ou controverses juridiques mentionnées dans le recours. Le Tribunal pénal n’a pas abusé de son pouvoir d’appréciation en indemnisant cette opération à hauteur de 15 minutes. Le grief est infondé.</w:t>
      </w:r>
    </w:p>
    <w:p>
      <w:r>
        <w:rPr>
          <w:b/>
        </w:rPr>
        <w:t>E. 3.5.1</w:t>
      </w:r>
    </w:p>
    <w:p>
      <w:r>
        <w:t>En ce qui concerne les opérations effectuées par l’avocate-stagiaire, il a déjà été dit ce qu’il en était de la conférence avec B.________ du 20 octobre 2020, qui sera indemnisée.</w:t>
      </w:r>
    </w:p>
    <w:p>
      <w:r>
        <w:rPr>
          <w:b/>
        </w:rPr>
        <w:t>E. 3.5.2</w:t>
      </w:r>
    </w:p>
    <w:p>
      <w:r>
        <w:t>Le Tribunal pénal a ensuite refusé d’indemniser une recherche juridique de 60 minutes au sujet de l’exécution anticipée, la réponse se trouvant aux art. 236 CPP et 153 LJ. Le recourant explique que la prise en charge de la prévenue était loin d’être évidente, et se plaint du ton « inutilement supérieur adopté dans le jugement attaqué, dont les 46 pages rédigées ne vont pas dans le sens d’une cause obvie ». Il estime que la recherche juridique était nécessaire, une requête d’exécution anticipée étant irrévocable. Le Tribunal pénal a indemnisé le recourant pour 35 heures d’activité, ce qui est en soi considérable. Le travail de l’avocat et la difficulté de la cause n’ont dès lors pas été dépréciés par le premier juge. Quant à la problématique d’une exécution anticipée de peine, elle est usuelle et maîtrisée par tout avocat pratiquant régulièrement le pénal et ne nécessite en règle générale pas des recherches juridiques spécifiques; qu’un avocat-stagiaire ne soit pas familier avec cette question et y consacre quelque temps d’analyse à laquelle ne se livrerait sans doute pas son maître de stage ne justifie pas une indemnisation à l’assistance judiciaire; le recourant n’explique enfin pas en quoi la cause présentait des particularités sur ce point. Le grief est rejeté.</w:t>
      </w:r>
    </w:p>
    <w:p>
      <w:r>
        <w:rPr>
          <w:b/>
        </w:rPr>
        <w:t>E. 3.5.3</w:t>
      </w:r>
    </w:p>
    <w:p>
      <w:r>
        <w:t>Enfin, le Tribunal pénal a réduit de quatre à une heure le temps consacré par l’avocate- stagiaire pour préparer la plaidoirie, relevant qu’elle avait pour l’essentiel plaidé l’irrecevabilité des plaintes pénales selon détermination du 1er février 2021. Me A.________ relève que sa collaboratrice a préparé l’entier de la plaidoirie, y compris celle de son maître de stage, de sorte que toute la durée notée doit être rémunérée, le fait qu’il ait lui-même inscrit du temps de préparation de la séance n’y changeant rien, cette durée se rapportant à d’autres tâches. Dans la liste de frais figurent quatre heures de préparation de la plaidoirie pour l’avocate-stagiaire et trois heures de préparation de la séance pour l’avocat, sans plus de précision. Le dossier n’est pas spécialement volumineux et Me A.________ est intervenu dès le départ de l’enquête, de sorte qu’il connaissait déjà bien le dossier. On peut partant s’interroger sur ce en quoi ont consisté les trois heures de travail de l’avocat si la préparation de sa plaidoirie n’y figure pas. Là encore, on peut reprocher à l’avocat son manque de précision dans son recours. Il n’est par ailleurs pas inutile de relever que, selon ce qui figure au procès-verbal (p. 11 DO 10069), les plaidoiries de Me A.________ et de son avocate-stagiaire ont duré, en tout, douze minutes, de sorte que la préparation de ces plaidoiries n’a pas dû prendre un temps démesuré. D’expérience, on sait en outre que la préparation d’une plaidoirie est l’un des domaines où un avocat-stagiaire prend nettement plus de temps qu’un avocat expérimenté. Enfin, les juges du Tribunal pénal ont entendu les plaidoiries, au contraire du Vice-Président de la Chambre, et sont mieux à même d’estimer le temps raisonnable à leur préparation.</w:t>
      </w:r>
    </w:p>
    <w:p>
      <w:r>
        <w:t>Tribunal cantonal TC Page 7 de 7</w:t>
      </w:r>
    </w:p>
    <w:p>
      <w:r>
        <w:rPr>
          <w:b/>
        </w:rPr>
        <w:t>E. 3.6</w:t>
      </w:r>
    </w:p>
    <w:p>
      <w:r>
        <w:t>En résumé, seront rajoutés deux heures d’activité pour l’avocat, soit CHF 360.-, et 30 minutes pour l’avocate-stagiaire, soit CHF 60.-, et un montant de CHF 679.- (CHF 446.- + CHF 233.-) à titre de frais de déplacement. Les débours au forfait et la TVA seront adaptés. L’indemnité de Me A.________ sera par conséquent fixée à CHF 9'519.60 (honoraires: CHF 6'320.- + CHF 360.- + CHF 60.- = CHF 6'740.-; débours: CHF 6'740 x 5 % = CHF 337.- + CHF 1'083.- + CHF 679.- = CHF 2'099.-; TVA : CHF 680.60). Le recours sera partiellement admis dans ce sens, l’indemnité allouée étant augmentée de CHF 1'161.-.</w:t>
      </w:r>
    </w:p>
    <w:p>
      <w:r>
        <w:rPr>
          <w:b/>
        </w:rPr>
        <w:t>E. 4</w:t>
      </w:r>
    </w:p>
    <w:p>
      <w:r>
        <w:t>Me A.________ réclamait une augmentation de son indemnité de CHF 2'477.55; il obtient moins de la moitié. Les frais judiciaires de la procédure de recours, fixés à CHF 540.-, seront par conséquent supportés par moitié par le recourant et par moitié par l’Etat (art. 428 al. 1 CPP). Le recours étant en partie admis, Me A.________ a droit à une indemnité réduite (art. 436 al. 2 CPP) de CHF 270.-, débours et TVA compris. Cette indemnité sera compensée avec les frais judiciaires mis à la charge du recourant (art. 442 al. 4 CPP). le Vice-Président de la Chambre arrête : I. Le recours est partiellement admis. Partant, le chiffre 7 du dispositif du jugement du 24 février 2021 est modifié en ce sens qu’une indemnité de CHF 9'519.60, TVA par CHF 680.60 comprise, est allouée à Me A.________ en sa qualité de défenseur d’office de B.________. II. L’indemnité due à Me A.________ pour la procédure de recours est fixée à CHF 270.-, TVA comprise. III. Les frais de la procédure de recours fixés à CHF 540.- (émolument: CHF 500.-; débours: CHF 40.-) sont supportés par moitié par Me A.________ et par moitié par l’Etat. IV. La créance de frais de justice (ch. III) est compensée avec l’indemnité réduite (ch. II).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septembre 2021/jde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