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28 vom 22. März 2021</w:t>
      </w:r>
    </w:p>
    <w:p>
      <w:r>
        <w:t>FR Kantonsgericht, 2021-03-22, FR</w:t>
      </w:r>
    </w:p>
    <w:p>
      <w:r>
        <w:rPr>
          <w:b/>
        </w:rPr>
        <w:t xml:space="preserve">Quelle: </w:t>
      </w:r>
      <w:r>
        <w:t>https://mcp.opencaselaw.ch/entscheid/fr_gerichte_502_2021_28</w:t>
      </w:r>
    </w:p>
    <w:p>
      <w:r>
        <w:t>FR: FR_GERICHTE 502 2021 28 du 22 mars 2021</w:t>
      </w:r>
    </w:p>
    <w:p>
      <w:r>
        <w:t>IT: FR_GERICHTE 502 2021 28 del 22 marzo 2021</w:t>
      </w:r>
    </w:p>
    <w:p>
      <w:pPr>
        <w:pStyle w:val="Heading2"/>
      </w:pPr>
      <w:r>
        <w:t>Regeste</w:t>
      </w:r>
    </w:p>
    <w:p>
      <w:r>
        <w:t>Arrêt de la Chambre pénale du Tribunal cantonal | Einstellung des Verfahrens (Art. 319 ff. StPO)</w:t>
      </w:r>
    </w:p>
    <w:p>
      <w:pPr>
        <w:pStyle w:val="Heading2"/>
      </w:pPr>
      <w:r>
        <w:t>Erwägungen</w:t>
      </w:r>
    </w:p>
    <w:p>
      <w:r>
        <w:rPr>
          <w:b/>
        </w:rPr>
        <w:t>E. 16</w:t>
      </w:r>
    </w:p>
    <w:p>
      <w:r>
        <w:t>octobre 2020, à 18h00. Il a également admis l’achat et la consommation de 24 g de marijuana (2 g par mois) et d’une quantité indéterminée de haschisch durant la période du 17 octobre 2019 au 17 octobre 2020. La procureure de permanence a décerné un mandat d'examen de A.________ qui a été acheminé à l'HFR Fribourg, où des examens du sang et de l'urine ont été faits. Il ressort des analyses toxicologiques qu’au moment des faits, la concentration de THC dans le sang du prévenu était de moins de 0.5 μg/l, soit une valeur inférieure à la limite de 1.5 μg/l définie à l’art. 34 de l’ordonnance sur le contrôle de la circulation routière du 28 mars 2007 (OCCR ; RS 741.013). B. Le 22 janvier 2021, le Ministère public a rendu deux ordonnances, la première reconnaissant A.________ coupable de contravention à la loi fédérale sur les stupéfiants (LStup) et le condamnant à une amende de CHF 200.-, frais de procédure à sa charge, la deuxième prononçant le classement de la procédure ouverte pour conduite en état d'incapacité (véhicule automobile/autres raisons), tout en mettant à sa charge les frais liés aux analyses toxicologiques effectuées se montant à CHF 659.20, en application de l'art. 426 al. 2 CPP. C. Par courrier daté du 2 février 2021 mais posté le 3 février 2021, A.________ a recouru contre l'ordonnance de classement. Par courrier du 12 février 2021, le Ministère public a indiqué qu’il renonçait à déposer des observations sur le recours. en droit 1. 1.1. Selon les art. 322 al. 2 et 393 al. 1 let. a CPP, 64 let. c et 85 al. 1 de la loi du 31 mai 2010 sur la justice (LJ ; RSF 130.1), la voie du recours à la Chambre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695.20, la cause sera tranchée par le Vice-Président de la Chambre. 1.2. Selon les art. 322 al. 2 et 396 al. 1 CPP, le recours est adressé par écrit dans le délai de dix jours à l’autorité de recours. L’ordonnance attaquée a été notifiée au prévenu le 27 janvier 2021. Déposé à la poste le 3 février 2021, le recours l’a été en temps utile.</w:t>
      </w:r>
    </w:p>
    <w:p>
      <w:r>
        <w:t>Tribunal cantonal TC Page 3 de 5 1.3. Le recourant, à qui les frais ont été mis à charge, est directement touché par l’ordonnance de classement et a ainsi la qualité pour recourir (art. 382 al. 1 CPP). 1.4. Le recours doit être motivé et doté de conclusions pour être formellement recevable (art. 396 al. 1 et 385 al. 1 CPP). Ces exigences, moins élevées lorsque le recourant n'est pas représenté par un avocat, sont en l'espèce respectées, compte tenu du fait que le recourant conteste la mise à sa charge des frais de débours, tout en exposant les raisons de sa demande. 1.5. Il sera statué sans débats (art. 397 al. 1 CPP). 2. Concernant le contexte légal, l’art. 55 al. 2 de la loi fédérale sur la circulation routière du</w:t>
      </w:r>
    </w:p>
    <w:p>
      <w:r>
        <w:rPr>
          <w:b/>
        </w:rPr>
        <w:t>E. 19</w:t>
      </w:r>
    </w:p>
    <w:p>
      <w:r>
        <w:t>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OCCR,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de A.________ alors même qu’aucune infraction à la LCR n’a été commise. 3. 3.1. 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 3.2. Le Ministère public a mis à la charge de A.________ les frais des analyses toxicologiques effectuées sur sa personne au motif que c’est lui qui les a provoqués et doit donc supporter les frais qui y sont liés. Dans le cadre de son recours, A.________ allègue que son taux de THC était inférieur à la limite légale et qu’il avait fait l’objet d’une ordonnance pénale séparée pour sa consommation de stupéfiants. 3.3. 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w:t>
      </w:r>
    </w:p>
    <w:p>
      <w:r>
        <w:t>Tribunal cantonal TC Page 4 de 5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 La consommation de stupéfiants est illégale en Suisse (art. 19a LStup) et la situation d’un conducteur dont la valeur limite de stupéfiants dans le sang n’a pas été atteinte n’est dès lors pas comparable à celle de l’automobiliste circulant avec un taux d’alcoolémie inférieur à 0,5 ‰. Ainsi, dans le cas d’une procédure ouverte pour conduite en état d’incapacité, la jurisprudence du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Cour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1,5g de marijuana et admet en outre avoir consommé cette substance deux jours auparavant (arrêt TC FR 502 2012 139 du 12 décembre 2012). 3.4. En l’espèce, il ressort du rapport de police que lors du contrôle, le 17 octobre 2020, à 11h30, le prévenu présentait des signes évidents de consommation de stupéfiants (teint blême). De plus, il était en possession de 2 g de haschisch. Il a en outre admis avoir consommé cette substance la veille, à 18h00, et de manière occasionnelle (2 g par mois) depuis une année. Dès lors, il était du devoir de la police de procéder aux investigations permettant de déterminer s’il conduisait son véhicule sous l’emprise de stupéfiants. Il ne faut en outre pas perdre de vue que, quand bien même les résultats de l’analyse toxicologique ont dû amener l’autorité pénale à retenir que la quantité de THC présente dans le sang du recourant pouvait être inférieure à la valeur limite prévue par la loi, le résultat s’est tout de même révélé positif. Ainsi, c’est le comportement du recourant, en particulier le fait qu’il était en possession de haschisch, qu’il a admis avoir consommé cette substance la veille – faits illicites – et qu’il présentait un indice physique de consommation de stupéfiants, qui a amené la police à ordonner une expertise toxicologique. Le recourant a ainsi clairement provoqué, inutilement et illicitement, les prélèvements et analyses dont les frais sont contestés. Dans de telles circonstances, des éléments suffisants justifiaient un contrôle de détection de stupéfiants et conséquemment la mise des frais y relatifs à la charge de la personne contrôlée. Il en découle le rejet du recours.</w:t>
      </w:r>
    </w:p>
    <w:p>
      <w:r>
        <w:t>Tribunal cantonal TC Page 5 de 5 4. Vu l'issue du pourvoi et en application des art. 428 al. 1 CPP, 33 ss et 43 RJ, les frais de la procédure de recours, arrêtés à CHF 250.- (émolument : CHF 200.- ; débours : CHF 50.-), sont mis à la charge de A.________. le Vice-Président arrête : I. Le recours est rejeté. Partant, l’ordonnance de classement du 22 janvier 2021 est confirmée. II. Les frais de la procédure de recours, fixés à CHF 250.- (émolument : CHF 200.- ; débours : CHF 50.-), sont mis à la charge de A.________.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22 mars 2021/jde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