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211 vom 4. November 2021</w:t>
      </w:r>
    </w:p>
    <w:p>
      <w:r>
        <w:t>FR Kantonsgericht, 2021-11-04, FR</w:t>
      </w:r>
    </w:p>
    <w:p>
      <w:r>
        <w:rPr>
          <w:b/>
        </w:rPr>
        <w:t xml:space="preserve">Quelle: </w:t>
      </w:r>
      <w:r>
        <w:t>https://mcp.opencaselaw.ch/entscheid/fr_gerichte_502_2021_211</w:t>
      </w:r>
    </w:p>
    <w:p>
      <w:r>
        <w:t>FR: FR_GERICHTE 502 2021 211 du 4 novembre 2021</w:t>
      </w:r>
    </w:p>
    <w:p>
      <w:r>
        <w:t>IT: FR_GERICHTE 502 2021 211 del 4 novembre 2021</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2021 211 Arrêt du 4 novembre 2021 Chambre pénale Composition Président : Laurent Schneuwly Juges : Jérôme Delabays, Sandra Wohlhauser Greffière-rapporteure : Aleksandra Bjedov Parties A.________, condamnée et recourante, représentée par Me David Moinat, avocat contre MINISTÈRE PUBLIC DE L’ETAT DE FRIBOURG, intimé Objet Décision judiciaire ultérieure indépendante – recours manifestement irrecevable Recours du 28 septembre 2021 contre la décision ultérieure indépendante du Tribunal pénal de l'arrondissement de la Broye du 7 septembre 2021</w:t>
      </w:r>
    </w:p>
    <w:p>
      <w:r>
        <w:t>Tribunal cantonal TC Page 2 de 3 considérant en fait et en droit que par décision judiciaire ultérieure indépendante (art. 363 du code de procédure pénale [CPP ; RS 312]) du 7 septembre 2021, le Tribunal pénal de l’arrondissement de la Broye (ci-après : le Tribunal) a constaté l’échec de la mesure thérapeutique institutionnelle prononcée à l’encontre de A.________ par jugement du 9 mai 2019 du Tribunal et la levée de cette mesure par le Service de l’exécution des sanctions pénales et de la probation (ci-après : le SESPP) par décision du 24 février 2020, a également constaté l’échec de la mesure ambulatoire prononcée à l’encontre de A.________ par jugement du 9 mai 2019 du Tribunal et la levée de cette mesure par le SESPP par décision du 30 juillet 2020, a ordonné l’exécution de la peine privative de liberté de 48 mois, prononcée le 9 mai 2019 par le Tribunal et initialement suspendue, sous déduction des 944 jours déjà subis, a arrêté l’indemnité de défenseur d’office due à Me David Moinat pour la défense de A.________ à CHF 2'121.70, TVA comprise, a dit que A.________ sera tenue de rembourser ce montant à l’Etat dès que sa situation financière le permettra et a mis les frais de procédure, réduits à CHF 250.-, à la charge de A.________; que par courrier daté du 23 septembre 2021, remis à la poste le 28 septembre 2021, et écrit sans l’assistance de son défenseur, A.________ a requis de la Chambre pénale qu’elle prenne acte de son écrit et donne suite à ce dernier. que le 5 octobre 2021, le Président de la Chambre pénale a écrit à Me David Moinat pour l’informer du recours de A.________ et lui signifier que la Chambre pénale n’entendait pas entrer en matière, le pourvoi n’étant pas motivé; que le courrier précité n’a suscité aucune réaction; que la voie de droit contre la décision querellée est bien le recours à la Chambre pénale, et non l’appel pénal (ATF 141 IV 396 / JdT 2016 IV 255); que le recours doit dès lors être motivé et indiquer précisément les motifs qui commandent une autre décision (art. 385 al. 1 let. b CPP).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(arrêts TF 6B_120/2016 du 20 juin 2016 consid. 3.2; 1B_232/2017 du 19 juillet 2017 consid. 2.4.3 in RSJ 2017 p. 446); qu’en l’espèce, le recours ne contient aucune motivation, la recourante se bornant à indiquer son droit de faire recours, le fait qu’elle agit elle-même sans l’assistance de son avocat et à demander de prendre acte de son écrit et de donner suite à ce dernier; que partant le recours, ne remplissant pas les exigences minimales de motivation, doit être déclaré irrecevable, sans procédure de régularisation; que, compte tenu de ce qui précède, la question du respect du délai pour recourir peut demeurer ouverte;</w:t>
      </w:r>
    </w:p>
    <w:p>
      <w:r>
        <w:t>Tribunal cantonal TC Page 3 de 3 qu’exceptionnellement aucun frais ne sera perçu; la Chambre arrête : I. Le recours est irrecevable. II. Il n’est pas perçu de frais.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novembre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