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191 vom 7. Januar 2022</w:t>
      </w:r>
    </w:p>
    <w:p>
      <w:r>
        <w:t>FR Kantonsgericht, 2022-01-07, FR</w:t>
      </w:r>
    </w:p>
    <w:p>
      <w:r>
        <w:rPr>
          <w:b/>
        </w:rPr>
        <w:t xml:space="preserve">Quelle: </w:t>
      </w:r>
      <w:r>
        <w:t>https://mcp.opencaselaw.ch/entscheid/fr_gerichte_502_2021_191</w:t>
      </w:r>
    </w:p>
    <w:p>
      <w:r>
        <w:t>FR: FR_GERICHTE 502 2021 191 du 7 janvier 2022</w:t>
      </w:r>
    </w:p>
    <w:p>
      <w:r>
        <w:t>IT: FR_GERICHTE 502 2021 191 del 7 gennaio 2022</w:t>
      </w:r>
    </w:p>
    <w:p>
      <w:pPr>
        <w:pStyle w:val="Heading2"/>
      </w:pPr>
      <w:r>
        <w:t>Regeste</w:t>
      </w:r>
    </w:p>
    <w:p>
      <w:r>
        <w:t>Arrêt de la Chambre pénale du Tribunal cantonal | Amtliche Verteidigung (Art. 132 f. StPO; 143 JG)</w:t>
      </w:r>
    </w:p>
    <w:p>
      <w:pPr>
        <w:pStyle w:val="Heading2"/>
      </w:pPr>
      <w:r>
        <w:t>Erwägungen</w:t>
      </w:r>
    </w:p>
    <w:p>
      <w:r>
        <w:rPr>
          <w:b/>
        </w:rPr>
        <w:t>E. 1.1</w:t>
      </w:r>
    </w:p>
    <w:p>
      <w:r>
        <w:t>Le défenseur d’office peut recourir devant l’autorité de recours, à savoir la Chambre pénale du Tribunal cantonal (art. 85 al. 1 LJ ; ATF 139 IV 199 ; TC FR arrêt 104 2011 7 du 20 mai 2011 in RFJ 2011 p. 57), contre la décision du Ministère public et du Tribunal de première instance fixant son indemnité (art. 135 al. 3 lit. a CPP).</w:t>
      </w:r>
    </w:p>
    <w:p>
      <w:r>
        <w:rPr>
          <w:b/>
        </w:rPr>
        <w:t>E. 1.2</w:t>
      </w:r>
    </w:p>
    <w:p>
      <w:r>
        <w:t>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(PC CPP, 2e éd., 2016, art. 395 n. 7 ; SCHMID, Handbuch des schweizerischen</w:t>
      </w:r>
    </w:p>
    <w:p>
      <w:r>
        <w:t>Tribunal cantonal TC Page 3 de 6 Strafprozessrechts, 3e éd., 2017, n. 1521). Le montant litigieux correspond à la différence entre le montant réclamé par le défenseur d’office et la somme allouée par la décision attaquée (BSK StPO-GUIDON, 2ème éd. 2014, art. 395 n. 6). En l’espèce, Me A.________ réclame une somme de CHF 2’510.50 alors que le Ministère public a fixé sa rémunération à CHF 1'424.90. Le montant litigieux est ainsi de CHF 1'085.60. Le Vice-Président peut dès lors statuer seul sur le recours.</w:t>
      </w:r>
    </w:p>
    <w:p>
      <w:r>
        <w:rPr>
          <w:b/>
        </w:rPr>
        <w:t>E. 1.3</w:t>
      </w:r>
    </w:p>
    <w:p>
      <w:r>
        <w:t>Doté de conclusions, motivé et déposé dans le délai de dix jours (art. 396 al. 1 CPP), le recours est recevable en la forme.</w:t>
      </w:r>
    </w:p>
    <w:p>
      <w:r>
        <w:rPr>
          <w:b/>
        </w:rPr>
        <w:t>E. 2.1</w:t>
      </w:r>
    </w:p>
    <w:p>
      <w:r>
        <w:t>En raison du rapport juridique de droit public créé entre le défenseur et l’Etat, c’est à ce dernier qu’incombe toujours la rémunération du défenseur d’office (ATF 141 I 124 consid. 3.1). Le défenseur d’office est indemnisé conformément au tarif des avocats de la Confédération ou du canton du for du procès. Si cette réglementation prévoit un tarif réduit, celui-ci s’applique sans égard à l’issue du procès (ATF 139 IV 261 consid. 2). Une indemnisation sur une base forfaitaire est aussi acceptable (ATF 141 I 124 consid. 4.3). L’indemnité peut être inférieure à la rémunération du défenseur privé, mais doit non seulement couvrir les frais généraux de l’avocat, mais aussi lui permettre d’obtenir un revenu modeste qui ne soit pas uniquement symbolique (ATF 141 I 124). Le calcul n’englobe toutefois pas l’ensemble des opérations de l’avocat et tient compte d’un certain rapport de proportionnalité entre l’indemnité et la cause défendue. C’est ainsi que l’autorité doit se fonder sur le temps nécessaire à un avocat expérimenté possédant des connaissances approfondies en droit pénal et en procédure pénale et qui peut ainsi orienter son travail de manière efficiente (ATF 143 IV 214). Selon la jurisprudence relative à l’article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141 I 124 consid. 3.1 ; 109 Ia 107 consid. 3a).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 références.).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w:t>
      </w:r>
    </w:p>
    <w:p>
      <w:r>
        <w:t>Tribunal cantonal TC Page 4 de 6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 RFJ 2000 p. 117 ss, consid. 5).</w:t>
      </w:r>
    </w:p>
    <w:p>
      <w:r>
        <w:rPr>
          <w:b/>
        </w:rPr>
        <w:t>E. 2.2</w:t>
      </w:r>
    </w:p>
    <w:p>
      <w:r>
        <w:t>Dans le canton de Fribourg, le défenseur d'office est indemnisé selon le tarif concernant les indemnités allouées aux défenseurs d'office en matière d'assistance judiciaire (cf. art. 143 al. 2 LJ; ATF 139 IV 261). Les art. 56 ss RJ règlent notamment l’indemnité horaire de l’avocat d’office breveté (art. 57 al. 2 RJ), les critères de fixation (art. 57 al. 1 RJ), les débours (art. 58 RJ), etc. Ainsi, le tarif horaire est de CHF 180.-. Si l'affaire a été essentiellement traitée par un ou une stagiaire, les opérations qu'il ou elle a menées sont rémunérées sur la base d'une indemnité horaire de CHF 120.-; la liste de frais indique quelles opérations ont été menées par des stagiaires (art. 57 al. 2 RJ). Le coût du travail de la secrétaire est compris dans l'honoraire horaire de l'avocat, ce qui conduit à écarter les travaux de dactylographie notamment.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voire exceptionnellement de CHF 700.- (cf. art. 67 RJ relatif aux dépens). Une pratique constante des autorités judiciaires applique cette règle par analogie en matière d'indemnité pour une défense d'office. Enfin, le taux de la TVA est de 7.7 % (art. 25 al. 1 de la loi du 12 juin 2009 sur la TVA [LTVA; RS 641.20]).</w:t>
      </w:r>
    </w:p>
    <w:p>
      <w:r>
        <w:rPr>
          <w:b/>
        </w:rPr>
        <w:t>E. 3.1</w:t>
      </w:r>
    </w:p>
    <w:p>
      <w:r>
        <w:t>En l’espèce, le Ministère public a refusé d’indemniser les opérations notées le 14 juillet 2021, soit 45 minutes de travail (conférence client : 20 minutes; conférence téléphonique avec Me D.________ : 10 minutes; correspondance au MP : 15 minutes), car il avait été désigné défenseur d’office à compter du 15 juillet 2021. Le recourant s’en plaint, avec raison. En effet, le Tribunal cantonal a eu l’occasion de relever, dans une affaire civile, que l’assistance judiciaire, qui n’a dans ce domaine qu’exceptionnellement un effet rétroactif (art. 119 al. 4 CPC), couvre les opérations de l’avocat antérieures au dépôt de la requête, mais étroitement liées avec l’acte avec lequel celle-ci est déposée, même si un effet suspensif n’est pas expressément accordé (arrêt TC FR 102 2014 38 du 21 novembre 2021 in RFJ 2014 p. 251). Une réflexion similaire peut être faite en matière pénale. Il ressort par ailleurs du dossier qu’on était en présence d’une défense obligatoire, que Me D.________ avait été déchargé de son mandat avec effet au 13 juillet 2021, et que les opérations effectuées par Me A.________ le 14 juillet 2021 étaient indispensables et raisonnables quant à leur durée. Les 45 minutes retranchées seront indemnisées. Le grief est fondé.</w:t>
      </w:r>
    </w:p>
    <w:p>
      <w:r>
        <w:rPr>
          <w:b/>
        </w:rPr>
        <w:t>E. 3.2</w:t>
      </w:r>
    </w:p>
    <w:p>
      <w:r>
        <w:t>Le Ministère public a considéré que l’opération du 19 juillet 2021, intitulée « étude du dossier client (dossier Me D.________) », doit être biffée car une opération identique de 2h45 a déjà été comptabilisée le 16 juillet 2021.</w:t>
      </w:r>
    </w:p>
    <w:p>
      <w:r>
        <w:t>Tribunal cantonal TC Page 5 de 6 Me A.________ rétorque que lorsqu’un avocat reprend un dossier qu’il ne connait absolument pas, il doit non seulement prendre connaissance du dossier judiciaire mais également de la correspondance qui a eu lieu entre l’ancien mandataire et son client et la partie adverse. Les échanges étaient nombreux en l’occurrence, ce qui ressort de la liste de frais de l’ancien mandataire. Le dossier représente plus de 400 pages, soit 250 pages environ pour le dossier pénal, 125 pages environ pour les échanges internes entre l’avocat, son client et la partie adverse, et 50 pages environ pour les annexes. La prise de connaissance de ce dossier représente dès lors bien 5h40 minutes de travail, ce qu’il a fait en deux étapes. Un changement d’avocat d’office entraîne automatiquement une augmentation des frais à la charge de l’Etat. Pour ce motif notamment, la jurisprudence est plutôt restrictive pour admettre un changement d’avocat d’office (cf. not. PC CPP, art. 134 n. 6 et les références citées). Plus l’instruction sera avancée, plus le changement d’avocat entraînera un coût supplémentaire. En l’espèce, le Ministère public a accepté apparemment sans hésitation de décharger Me D.________ et de nommer, en fin d’instruction, un nouvel avocat d’office à B.________. On peut déjà en déduire que la défense de ce dernier n’était pas aisée, un avocat expérimenté y ayant renoncé. Ensuite, le fait que le changement survienne une fois l’avis de clôture d’instruction rendu n’est pas pertinent; il impliquait au contraire que le nouvel avocat devait prendre connaissance d’un dossier instruit depuis plus d’une année. Comme le relève le recourant par ailleurs, Me D.________ a été indemnisé pour plus de 25 heures de travail, ce qui représente une activité considérable. Me A.________ a dû prendre connaissance du dossier de son confrère et il est sans doute exact que cela a nécessité passablement de temps. Enfin, le fait que la prise de connaissance du dossier ait fait l’objet de deux opérations à 4 jours d’intervalle n’est pas décisif, dans la mesure où le temps total reste raisonnable et ne justifie pas modération. Tel est le cas. Le grief est fondé.</w:t>
      </w:r>
    </w:p>
    <w:p>
      <w:r>
        <w:rPr>
          <w:b/>
        </w:rPr>
        <w:t>E. 3.3</w:t>
      </w:r>
    </w:p>
    <w:p>
      <w:r>
        <w:t>Le Ministère public a refusé d’indemniser une conférence client de 70 minutes le 20 août 2021, cette opération n’étant pas justifiée vu le stade de la procédure. Le recourant relève que B.________ ne lui avait fait parvenir des pièces que le 20 août 2021 et qu’un rendez-vous était nécessaire pour définir une stratégie et définir les réquisitions de preuve à apporter au dossier. Cela étant, le Vice-président de la Chambre considère que le Ministère public n’a pas abusé de son pouvoir d’appréciation en refusant d’indemniser cette opération dès lors que, depuis la reprise du dossier le 14 juillet 2021, 150 minutes de conférences avec le client ont déjà été prises en compte, conférences téléphonique comprises, dont 90 minutes le 21 juillet 2021 où l’avocat et son client ont sans doute alors eu le temps de faire le point sur le dossier et d’élaborer leur stratégie. Le grief est infondé.</w:t>
      </w:r>
    </w:p>
    <w:p>
      <w:r>
        <w:rPr>
          <w:b/>
        </w:rPr>
        <w:t>E. 3.4</w:t>
      </w:r>
    </w:p>
    <w:p>
      <w:r>
        <w:t>Enfin, Me A.________ reproche au Ministère public d’avoir ramené de 60 minutes à 30 minutes les opérations futures, le temps noté étant pour l’autorité intimée excessif. L’avocat devait prendre connaissance et analyser deux décisions, soit l’ordonnance pénale et l’ordonnance de classement, les transmettre à son client et lui fournir cas échéant des explications nécessaires. En prévoyant une heure de travail pour cette activité, l’avocat n’a nullement exagéré et l’intervention du Ministère public ne se justifie pas sur ce point. Le grief est fondé.</w:t>
      </w:r>
    </w:p>
    <w:p>
      <w:r>
        <w:rPr>
          <w:b/>
        </w:rPr>
        <w:t>E. 3.5</w:t>
      </w:r>
    </w:p>
    <w:p>
      <w:r>
        <w:t>Il s’ensuit que Me A.________ sera rémunéré pour 240 minutes supplémentaires (45 + 165 + 30); son activité totale est ainsi de 660 minutes, ce qui équivaut à une indemnité de CHF 1'980.- arrondie à CHF 2'000.-, plus débours par CHF 100.- (5%) et TVA par CHF 161.70 (7.7%), soit un total de CHF 2'261.70. Le recours sera partiellement admis en ce sens.</w:t>
      </w:r>
    </w:p>
    <w:p>
      <w:r>
        <w:t>Tribunal cantonal TC Page 6 de 6</w:t>
      </w:r>
    </w:p>
    <w:p>
      <w:r>
        <w:rPr>
          <w:b/>
        </w:rPr>
        <w:t>E. 4</w:t>
      </w:r>
    </w:p>
    <w:p>
      <w:r>
        <w:t>Me A.________ réclamait une augmentation de son indemnité de CHF 1'085.60 ; il obtient CHF 836.80 de plus que ce que le Ministère public lui avait octroyé. Les frais judiciaires de la procédure de recours, fixés à CHF 300.-, seront par conséquent laissés à la charge de l’Etat (art. 428 al. 1 CPP). Le recours étant en partie admis, Me A.________ a droit à une indemnité légèrement réduite (art. 436 al. 2 CPP) de CHF 500.-, débours compris mais TVA par CHF 25.- en plus. le Vice-président de la Chambre arrête : I. Le recours est partiellement admis. Partant, le chiffre 5 de l’ordonnance de classement du 31 août 2021 du Ministère public rendue en la cause F 20 6543 est réformé en ce sens que l'indemnité due à Me A.________ pour la défense d'office de B.________ est fixée à CHF 2'261.70, TVA par CHF 161.70 comprise. II. Les frais de la présente procédure sont arrêtés à CHF 300.- (émolument : CHF 200.-; débours : CHF 100.-) et mis à la charge de l'Etat. III. Une indemnité de CHF 500.-, débours compris mais TVA par CHF 25.- en plus, est allouée à Me A.________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janvier 2022/jde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