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79 vom 24. Juni 2020</w:t>
      </w:r>
    </w:p>
    <w:p>
      <w:r>
        <w:t>FR Kantonsgericht, 2020-06-24, FR</w:t>
      </w:r>
    </w:p>
    <w:p>
      <w:r>
        <w:rPr>
          <w:b/>
        </w:rPr>
        <w:t xml:space="preserve">Quelle: </w:t>
      </w:r>
      <w:r>
        <w:t>https://mcp.opencaselaw.ch/entscheid/fr_gerichte_502_2020_79</w:t>
      </w:r>
    </w:p>
    <w:p>
      <w:r>
        <w:t>FR: FR_GERICHTE 502 2020 79 du 24 juin 2020</w:t>
      </w:r>
    </w:p>
    <w:p>
      <w:r>
        <w:t>IT: FR_GERICHTE 502 2020 79 del 24 giugno 2020</w:t>
      </w:r>
    </w:p>
    <w:p>
      <w:pPr>
        <w:pStyle w:val="Heading2"/>
      </w:pPr>
      <w:r>
        <w:t>Regeste</w:t>
      </w:r>
    </w:p>
    <w:p>
      <w:r>
        <w:t>Arrêt de la Chambre pénale du Tribunal cantonal | Nichtanhandnahme (Art. 310 StPO)</w:t>
      </w:r>
    </w:p>
    <w:p>
      <w:pPr>
        <w:pStyle w:val="Heading2"/>
      </w:pPr>
      <w:r>
        <w:t>Erwägungen</w:t>
      </w:r>
    </w:p>
    <w:p>
      <w:r>
        <w:rPr>
          <w:b/>
        </w:rPr>
        <w:t>E. 1.1</w:t>
      </w:r>
    </w:p>
    <w:p>
      <w:r>
        <w:t>Selon les art. 310 al. 2, 322 al. 2 et 393 al. 1 let. a CPP et 85 al. 1 LJ, la voie du recours à la Chambre pénale est ouverte contre une ordonnance de non-entrée en matière.</w:t>
      </w:r>
    </w:p>
    <w:p>
      <w:r>
        <w:rPr>
          <w:b/>
        </w:rPr>
        <w:t>E. 1.2</w:t>
      </w:r>
    </w:p>
    <w:p>
      <w:r>
        <w:t>Selon l’art. 322 al. 2 et 396 al. 1 CPP, le recours est adressé par écrit, dans un délai de dix jours, à l’autorité de recours. L’ordonnance de non-entrée en matière du 1er mai 2020 a été notifiée le 4 mai 2020, de sorte que le recours déposé le 6 mai 2020 l’a été en temps utile.</w:t>
      </w:r>
    </w:p>
    <w:p>
      <w:r>
        <w:rPr>
          <w:b/>
        </w:rPr>
        <w:t>E. 1.3</w:t>
      </w:r>
    </w:p>
    <w:p>
      <w:r>
        <w:t>Le recours doit être motivé (art. 396 al. 1 CPP) et indiquer précisément les motifs qui commandent une autre décision (art. 385 al. 1 let. b CPP). Tel est le cas en l’espèce.</w:t>
      </w:r>
    </w:p>
    <w:p>
      <w:r>
        <w:rPr>
          <w:b/>
        </w:rPr>
        <w:t>E. 1.4</w:t>
      </w:r>
    </w:p>
    <w:p>
      <w:r>
        <w:t>Toute partie qui a un intérêt juridiquement protégé à l’annulation ou à la modification d’une décision a qualité pour recourir contre celle-ci (art. 382 al. 1 CPP). La notion de partie visée à l’art. 382 al. 1 CPP doit être comprise au sens des art. 104 et 105 al. 1 CPP (ATF 145 IV 491 consid. 2.4.1 et 2.4.2; arrêt TF 6B_753/2012 du 25 février 2013 consid. 3.3.1). La partie plaignante a notamment la qualité de partie (art. 104 al. 1 let. b CPP). En l’espèce, le recourant a un intérêt</w:t>
      </w:r>
    </w:p>
    <w:p>
      <w:r>
        <w:t>Tribunal cantonal TC Page 3 de 9 juridiquement protégé à l’annulation de l’ordonnance de non-entrée en matière, ayant été potentiellement victime d’infractions contre le patrimoine.</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La Chambre pénale dispose d’une pleine cognition en fait et en droit (art. 393 al. 2 CPP) et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 bre 2013 consid. 1.4; arrêt TC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 lentes, en particulier en présence d’une infraction grave (arrêt TF 6B_701/2014 du 14 novembre 2014 consid. 2.1; ATF 138 IV 86 consid. 4.1.2; 137 IV 285 consid. 2.5).</w:t>
      </w:r>
    </w:p>
    <w:p>
      <w:r>
        <w:rPr>
          <w:b/>
        </w:rPr>
        <w:t>E. 2.2</w:t>
      </w:r>
    </w:p>
    <w:p>
      <w:r>
        <w:t>Dans l’ordonnance de non-entrée en matière attaquée, le Ministère public a retenu ce qui suit: A.________, actuellement détenu à E.________, allègue que B.________, agissant dans le cadre de sa fonction de curateur de C.________, a vendu à un tiers pour la somme de CHF 6'500.- le véhicule de marque F.________ lui appartenant, sans lui rétrocéder l'entier de la somme convenue. En effet, le 31 mars 2020, B.________ avait été autorisé par le mandataire du plaignant, Me I.________, à vendre cet objet et à prélever sur le prix de vente la somme de CHF 3'500.- pour C.________ au titre de règlement de la pension alimentaire du mois d'avril 2020.</w:t>
      </w:r>
    </w:p>
    <w:p>
      <w:r>
        <w:t>Tribunal cantonal TC Page 4 de 9 Le solde de CHF 3'000.-, qui aurait ensuite dû être versé sur le compte client de A.________, avait toutefois été laissé sur le compte de gestion BCF de C.________. Par courrier du 23 avril 2020, Me G.________ a précisé que les époux A.________ et C.________ étaient toujours mariés et avaient entamé une procédure de mesures protectrices de l'union conjugale, de sorte qu'il était hors de question de procéder actuellement à la liquidation du régime matrimonial. Elle a ajouté que C.________ invoquait en outre la compensation, dès lors qu'elle n'avait pas encore prélevé les pensions alimentaires pour les mois de mai à novembre 2019 sur le compte bancaire de son époux. Les infractions de vol, abus de confiance, escroquerie et gestion déloyale, invoquées par le plaignant, supposent toutes la présence d'un dessein d'enrichissement illégitime. Or, selon la jurisprudence, il n'y a pas de dessein d'enrichissement illégitime lorsque l'auteur est en droit de faire valoir la compensation. En l'espèce, A.________ étant débiteur de C.________ s'agissant des pensions non encore honorées, la compensation peut ici être invoquée. Au surplus, il est établi que Me I.________ avait lui-même autorisé B.________ à prélever sur le prix de vente du véhicule la somme de CHF 3'500.- pour C.________ au titre de règlement de la pension alimentaire du mois d'avril 2020. On ne distingue pas en quoi il devrait en être autrement s'agissant des pensions impayées dues pour les mois précédents. Plus généralement, ces infractions ne sont réalisées que si elles ont été commises de manière intentionnelle. En l'espèce, aucun élément au dossier ne permet d'établir que B.________ avait la conscience et la volonté de s'enrichir ou d'enrichir un tiers de manière indue. Il a en effet vendu le véhicule conformément aux exigences de A.________ selon le prix fixé. Le fait qu'il ne lui ait ensuite pas rétrocédé l'entier de la somme convenue pour la laisser à la disposition de C.________, alors dans le besoin au vu de son absence de ressources personnelles, pourrait tout au plus constituer une mauvaise exécution du contrat de mandat, qui ressort de la compétence du Juge civil uniquement. Il ne faut pas non plus perdre de vue qu'en tant que curateur, respectivement en tant que mandataire de C.________, B.________ et Me G.________ avaient le devoir de veiller au respect des intérêts de cette dernière, notamment sur le plan financier, et d'agir en conséquence. Au vu de ce qui précède, aucune infraction pénale ne peut être mise en évidence. Ainsi, s'agissant d'un litige de nature civile, il y a lieu de renvoyer le plaignant à agir devant le Juge civil et de ne pas donner d'autres suites à la présente procédure.</w:t>
      </w:r>
    </w:p>
    <w:p>
      <w:r>
        <w:rPr>
          <w:b/>
        </w:rPr>
        <w:t>E. 2.3</w:t>
      </w:r>
    </w:p>
    <w:p>
      <w:r>
        <w:t>Dans son recours du 6 mai 2020, A.________ reproche au Ministère public d'avoir rendu une décision arbitraire en refusant d'entrer en matière sur sa plainte pénale sans la moindre motivation valable, sur la base de faits et appréciations juridiques erronés. En substance, il soutient que l’autorité intimée a complété les faits à sa convenance, sans aucune base concrète, pour conclure à sa dispense d’instruire. Il serait ainsi faux de retenir que Me I.________ a autorisé B.________ à vendre le véhicule en question, rien de tel n’ayant été allégué. Le Ministère public ne disposait en outre d’aucune information permettant de prétendre que B.________ a vendu le véhicule conformément aux exigences du recourant, selon le prix fixé. Ensuite, le Ministère public ne disposerait d’aucune pièce au dossier lui permettant de retenir l’existence de prétendus arriérés de pensions pour le montant litigieux. Quoi qu'il en soit, le fait que B.________ se soit expressément engagé à restituer le montant de CHF 3'000.- le 31 mars 2020 exclut de facto toute compensation pour de prétendues dettes antérieures à cet accord, d'autant plus que la restitution sans délai du montant litigieux a été acceptée comme condition à l'encaissement du prix de vente par B.________. A toutes fins utiles, il est précisé que l'engagement oral pris par B.________ l'a été en présence du mandataire pénal du recourant, à savoir Me H.________, lequel pourra en témoigner. Il serait absurde de prétendre que B.________ n'avait pas la conscience et la volonté d'enrichir C.________ de manière indue, alors qu'il connaissait son obligation de restituer le montant et que Me I.________ l'avait expressément sommé par courriel du 20 avril 2020 de</w:t>
      </w:r>
    </w:p>
    <w:p>
      <w:r>
        <w:t>Tribunal cantonal TC Page 5 de 9 restituer la somme retenue sans droit, réservant une éventuelle action pénale. Le fait qu'il ait agit de concert avec Me G.________ n'enlève rien à l’illicéité de son comportement. Au contraire, cela ne fait qu'établir la participation pénalement répréhensible de celle-ci. Enfin, le recourant peine à comprendre sur quelle base légale se fonde l'argument final du Ministère public pour qui la défense des intérêts pécuniaires de C.________ serait un fait justificatif à la commission d'infractions pénales contre son patrimoine.</w:t>
      </w:r>
    </w:p>
    <w:p>
      <w:r>
        <w:rPr>
          <w:b/>
        </w:rPr>
        <w:t>E. 2.4</w:t>
      </w:r>
    </w:p>
    <w:p>
      <w:r>
        <w:t>Dans sa détermination du 8 juin 2020, B.________ soutient pour sa part que tous les actes entrepris l’ont été dans le but de sauvegarder les intérêts de C.________, conformément à la mission qui lui a été confiée par la Justice de paix de l’arrondissement de la Broye. Me G.________ lui aurait assuré qu’il pouvait, à tout le moins temporairement, retenir le solde du prix de vente du véhicule, ceci notamment en compensation des contributions d’entretien qui n’ont pas été prélevées par C.________ pour la période antérieure à sa nomination.</w:t>
      </w:r>
    </w:p>
    <w:p>
      <w:r>
        <w:rPr>
          <w:b/>
        </w:rPr>
        <w:t>E. 2.5</w:t>
      </w:r>
    </w:p>
    <w:p>
      <w:r>
        <w:t>En l’occurrence, on constate que les faits tels qu’ils ressortent du dossier de la cause ne sont pas aussi clairs que l’ordonnance querellée le relate. On ignore en particulier tout sur les circonstances de la vente du véhicule appartenant au recourant et sur les discussions menées entre l’avocat de ce dernier et B.________ – dont on ne connaît pas les pouvoirs/tâches confiés par l’autorité de protection de l’adulte –, entre autres au sujet de l’utilisation du bénéfice réalisé lors de dite vente, étant précisé que le recourant propose l’audition de Me H.________ à ce sujet. De même, rien au dossier ne permet de retenir en l’état que l’avocat a autorisé la vente du véhicule, respectivement que B.________ a procédé à la vente conformément aux exigences du recourant. Quant à l’existence ou non d’arriérés de pensions (qui concerneraient les mois de mai à novembre 2019 et que l’épouse n’aurait pas prélevées sur le compte bancaire du recourant alors qu’elle en avait prétendument le droit), lesquels pourraient cas échéant justifier une compensation, elle est contestée et la seule pièce au dossier à ce sujet (courrier de l’avocate de l’épouse adressé à l’avocat du recourant) n’est pas suffisante pour l’admettre; de plus, on ignore si la somme de ces éventuels arriérés atteint celui du montant qui n’a pas été versé au recourant. Enfin, on ne trouve pas au dossier d’indication(s) permettant de retenir que l’épouse était « dans le besoin au vu de son absence de ressources personnelles ». Ce qui précède suffit à admettre le recours pour constatation incomplète ou erronée des faits, à annuler l’ordonnance querellée et à renvoyer la cause au Ministère public pour reprise de la procédure.</w:t>
      </w:r>
    </w:p>
    <w:p>
      <w:r>
        <w:rPr>
          <w:b/>
        </w:rPr>
        <w:t>E. 3.1.1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LJ).</w:t>
      </w:r>
    </w:p>
    <w:p>
      <w:r>
        <w:rPr>
          <w:b/>
        </w:rPr>
        <w:t>E. 3.1.2</w:t>
      </w:r>
    </w:p>
    <w:p>
      <w:r>
        <w:t>La personne concernée prend position sur la demande (art. 58 al. 2 CPP), ce qui est le cas en l'espèce puisque le magistrat dont la récusation est requise s’est déterminé sur la demande par courrier du 26 mai 2020, concluant à son rejet dans la mesure de sa recevabilité.</w:t>
      </w:r>
    </w:p>
    <w:p>
      <w:r>
        <w:rPr>
          <w:b/>
        </w:rPr>
        <w:t>E. 3.1.3</w:t>
      </w:r>
    </w:p>
    <w:p>
      <w:r>
        <w:t>La décision sur récusation est rendue par écrit (art. 59 al. 2 CPP).</w:t>
      </w:r>
    </w:p>
    <w:p>
      <w:r>
        <w:t>Tribunal cantonal TC Page 6 de 9</w:t>
      </w:r>
    </w:p>
    <w:p>
      <w:r>
        <w:rPr>
          <w:b/>
        </w:rPr>
        <w:t>E. 3.2.1</w:t>
      </w:r>
    </w:p>
    <w:p>
      <w:r>
        <w:t>Le recourant motive sa demande de récusation pour l’essentiel comme suit: le Procureur D.________ instruit actuellement une affaire de mœurs dans laquelle le recourant est prévenu et qui l'oppose à sa femme et sa fille. Pour cette seule raison déjà, il aurait d'emblée dû se récuser vu l'apparence déjà manifeste de prévention que cette situation est à même de susciter. La façon déplorable dont il a ensuite spontanément traité la plainte ne laisse aucun doute sur la nécessité d'une telle récusation, ne serait-ce déjà qu'au sens de l'art. 56 let. f CPP. Le sentiment laissé par l'existence de l'instruction en cours contre le recourant, cumulée à l'arbitraire crasse de l'ordonnance de non-entrée en matière querellée, est indélébile. S’agissant en particulier de l’ordonnance précitée, le recourant relève que l'argumentaire développé par le Procureur laisse penser qu'il a refusé d'instruire la présente affaire au seul et unique motif de la personne du plai- gnant, ce qui serait choquant. Par ailleurs, le fait que le Procureur retienne l'existence ferme de prétendus arriérés sans la moindre preuve prouve également sa partialité. L'avis personnel du Procureur, empreint d'une certaine condescendance, lorsqu'il s'épanche sur le prétendu dénue- ment de C.________, dont il n'est absolument pas question dans cette affaire, scelle une fois encore le sort de sa partialité.</w:t>
      </w:r>
    </w:p>
    <w:p>
      <w:r>
        <w:rPr>
          <w:b/>
        </w:rPr>
        <w:t>E. 3.2.2</w:t>
      </w:r>
    </w:p>
    <w:p>
      <w:r>
        <w:t>Le Procureur D.________ s’est déterminé comme suit: en ce qui concerne le grief selon lequel il est en charge de la procédure instruite à la charge du recourant pour actes d'ordre sexuel avec des enfants, contrainte sexuelle, viol, actes d'ordre sexuel commis sur une personne incapable de discernement ou de résistance, pornographie, inceste, représentation de la violence et violation du devoir d'assistance ou d'éducation (F 19 1591) et donc partial, il est tardif et ainsi irrecevable. En effet, il aurait dû être allégué au moment du dépôt de la plainte pénale, à savoir en date du 23 avril 2020, et non pas au moment du dépôt du recours, en date du 6 mai 2020. De plus, on ne saisit pas pour quels motifs un magistrat ne saurait faire preuve d'impartialité pour instruire une procédure dans laquelle un prévenu est partie plaignante comme en l'espèce. Il (le Procureur D.________) instruit d'ailleurs une autre procédure pénale dans laquelle le recourant est partie plaignante – à savoir celle dans laquelle il a déposé plainte pénale à l’encontre de C.________ pour diffamation, calomnie, dénonciation calomnieuse et induction de la justice en erreur (F 19 11716) – sans qu’il n'ait requis sa récusation. Par ailleurs, l'on ne saurait admettre systématiquement la récusation d'un procureur au motif qu'il aurait déjà rendu dans la même cause une ordonnance de non-entrée en matière ou de classement annulée par l'autorité de recours. Par conséquent, en ce qui concerne le grief selon lequel il devrait être récusé au motif qu'il a prononcé une ordonnance de non-entrée en matière, il doit être rejeté.</w:t>
      </w:r>
    </w:p>
    <w:p>
      <w:r>
        <w:rPr>
          <w:b/>
        </w:rPr>
        <w:t>E. 3.2.3</w:t>
      </w:r>
    </w:p>
    <w:p>
      <w:r>
        <w:t>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sont de nature à le rendre suspect de prévention". Selon la jurisprudence, rappelée régulièrement (not. arrêt TF 1B_96/2017 du 13 juin 2017 consid. 2.1.1 et 2.1.2),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Cet article du Code de procédure pénale concrétise aussi les droits déduits de l'art. 29 al. 1 Cst. garantissant l'équité du procès et assure au justiciable cette protection lorsque d'autres autorités ou organes (cf. en particulier art. 12 CPP) que des tribunaux (cf. art. 13 CPP) sont concernés (ATF 141 IV 178 consid. 3.2.2; 127 I 196 consid. 2b).</w:t>
      </w:r>
    </w:p>
    <w:p>
      <w:r>
        <w:t>Tribunal cantonal TC Page 7 de 9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143 IV 69 consid 3.2). 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Dans ce cadre, ni les art. 29 et 30 Cst., ni l'art. 6 par. 1 CEDH ne confèrent au prévenu une protection particulière lui permettant de se plaindre de l'attitude du ministère public et des opinions exprimées par celui-ci durant les débats (ATF 138 IV 142 consid. 2.2 et les réf. citées).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 dictions de recours normalement compétentes de constater et de redresser les erreurs éventuel- 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w:t>
      </w:r>
    </w:p>
    <w:p>
      <w:r>
        <w:rPr>
          <w:b/>
        </w:rPr>
        <w:t>E. 3.2.4</w:t>
      </w:r>
    </w:p>
    <w:p>
      <w:r>
        <w:t>En l’espèce, le fait que le Procureur D.________ instruit actuellement une procédure pour atteintes à l’intégrité sexuelle à l’encontre du recourant ne fait pas encore naître un doute sur son impartialité. Celui-ci n’a d’ailleurs pas d’emblée demandé que la cause soit attribuée à un autre procureur, comme il aurait pu le faire. De plus, il n’a pas contesté l’argument selon lequel le magistrat précité instruit également, depuis 2019, une autre procédure pénale dans laquelle il est</w:t>
      </w:r>
    </w:p>
    <w:p>
      <w:r>
        <w:t>Tribunal cantonal TC Page 8 de 9 partie plaignante, sans qu’il ait requis sa récusation, notamment après réception de l’ordonnance de non-entrée en matière litigieuse. Enfin, l’annulation de cette ordonnance pour constatation incomplète ou erronée des faits ne suffit pas non plus à fonder une apparence objective de prévention puisque seules des erreurs particulièrement lourdes ou répétées, constitutives de violations graves des devoirs du magistrat, peuvent fonder une suspicion de partialité, ce qui n’est pas le cas en l’espèce. En particulier, on ne saurait retenir que le magistrat a refusé d’instruire la présente affaire au seul et unique motif de la personne du recourant. De même, si c’est à tort qu’il s’est fondé uniquement sur le courrier de l’avocate de l’épouse pour admettre l’existence d’arriérés de pension permettant la compensation, il n’est pas exact de prétendre qu’il l’a fait « sans la moindre preuve ». A l’examen du dossier, on ne décèle en réalité pas de circonstances qui don- nent l'apparence de la prévention et fassent redouter une activité partiale de la part du Procureur D.________. La demande de récusation est ainsi rejetée.</w:t>
      </w:r>
    </w:p>
    <w:p>
      <w:r>
        <w:rPr>
          <w:b/>
        </w:rPr>
        <w:t>E. 4</w:t>
      </w:r>
    </w:p>
    <w:p>
      <w:r>
        <w:t>Vu le sort du recours et de la demande de récusation, les frais de procédure, arrêtés à CHF 600.- (émoluments: CHF 500.-; débours: CHF 100.-), doivent être mis à la charge du recourant et de l’Etat à raison de la moitié chacun (art. 428 al. 1 CPP; art. 33 al. 2, 35 et 43 RJ). Une indemnité de partie réduite de CHF 400.-, débours compris mais TVA par CHF 30.80 en sus, est due au recourant, à la charge de l’Etat. (dispositif en page suivante)</w:t>
      </w:r>
    </w:p>
    <w:p>
      <w:r>
        <w:t>Tribunal cantonal TC Page 9 de 9 la Chambre arrête : I. Le recours est admis. Partant, l’ordonnance de non-entrée en matière du 1er mai 2020 est annulée et la cause renvoyée au Ministère public dans le sens des considérants. II. La demande de récusation concernant le Procureur D.________ est rejetée. III. Les frais de procédure, arrêtés à CHF 600.- (émoluments: CHF 500.-; débours: CHF 100.-), sont mis à la charge de A.________ et de l’Etat à raison de la moitié chacun. Le montant dû par A.________ est prélevé sur les sûretés prestées, le solde (CHF 300.-) lui étant restitué. IV. Une indemnité de partie de CHF 400.-, débours compris mais TVA par CHF 30.80 en sus, est allouée à A.________, à la charge de l’Etat.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juin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