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55 vom 28. Mai 2020</w:t>
      </w:r>
    </w:p>
    <w:p>
      <w:r>
        <w:t>FR Kantonsgericht, 2020-05-28, FR</w:t>
      </w:r>
    </w:p>
    <w:p>
      <w:r>
        <w:rPr>
          <w:b/>
        </w:rPr>
        <w:t xml:space="preserve">Quelle: </w:t>
      </w:r>
      <w:r>
        <w:t>https://mcp.opencaselaw.ch/entscheid/fr_gerichte_502_2020_55</w:t>
      </w:r>
    </w:p>
    <w:p>
      <w:r>
        <w:t>FR: FR_GERICHTE 502 2020 55 du 28 mai 2020</w:t>
      </w:r>
    </w:p>
    <w:p>
      <w:r>
        <w:t>IT: FR_GERICHTE 502 2020 55 del 28 maggio 2020</w:t>
      </w:r>
    </w:p>
    <w:p>
      <w:pPr>
        <w:pStyle w:val="Heading2"/>
      </w:pPr>
      <w:r>
        <w:t>Regeste</w:t>
      </w:r>
    </w:p>
    <w:p>
      <w:r>
        <w:t>Arrêt de la Chambre pénale du Tribunal cantonal | Strafrecht</w:t>
      </w:r>
    </w:p>
    <w:p>
      <w:pPr>
        <w:pStyle w:val="Heading2"/>
      </w:pPr>
      <w:r>
        <w:t>Erwägungen</w:t>
      </w:r>
    </w:p>
    <w:p>
      <w:r>
        <w:rPr>
          <w:b/>
        </w:rPr>
        <w:t>E. 1.1</w:t>
      </w:r>
    </w:p>
    <w:p>
      <w:r>
        <w:t>Les parties peuvent attaquer les décisions et les actes de procédure rendus par le ministère public (art. 393 al. 1 let. a CPP [Code de procédure pénale suisse du 5 octobre 2007, RS 312.0]) dans les dix jours devant l’autorité de recours (art. 322 al. 2 CPP en relation avec l’art. 310 al. 2 CPP, art. 396 al. 1 CPP; cf. art. 20 al. 1 let. b CPP), qui, dans le canton de Fribourg, est la Chambre pénale (art. 85 al. 1 LJ [loi sur la justice du 31 mai 2010, RSF 130.1]).</w:t>
      </w:r>
    </w:p>
    <w:p>
      <w:r>
        <w:rPr>
          <w:b/>
        </w:rPr>
        <w:t>E. 1.2</w:t>
      </w:r>
    </w:p>
    <w:p>
      <w:r>
        <w:t>Selon l’art. 382 al. 1 CPP, toute partie qui a un intérêt juridiquement protégé à l’annulation ou à la modification d’une décision a la qualité pour recourir contre celle-ci. Cet intérêt doit en principe être actuel et pratique. De cette manière, les tribunaux sont assurés de trancher uniquement des questions concrètes et non de prendre des décisions à caractère théorique (ATF 144 IV 81 consid. 2.3.1 et les réf. citées). Dans des circonstances particulières, le Tribunal fédéral</w:t>
      </w:r>
    </w:p>
    <w:p>
      <w:r>
        <w:t>Tribunal cantonal TC Page 3 de 4 examine le recours au fond malgré la perte de l'intérêt actuel du recourant. Au regard du principe de l'unité de la procédure, tel est le cas lorsque le recourant se prévaut, en le motivant suffisamment, d'un « grief défendable » fondé sur la CEDH (ATF 137 I 296 consid. 4.3.2 et 4.3.4).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w:t>
      </w:r>
    </w:p>
    <w:p>
      <w:r>
        <w:rPr>
          <w:b/>
        </w:rPr>
        <w:t>E. 1.3</w:t>
      </w:r>
    </w:p>
    <w:p>
      <w:r>
        <w:t>En l'occurrence, il ressort du dossier que la recourante a accepté et coopéré volontairement aux mesures ordonnées oralement le 22 novembre 2019. Elle relève d’ailleurs sans équivoque dans son recours qu’elle a accepté les examens qu’on lui a demandé de faire le 22 septembre (recte: novembre) 2019 (recours, p. 1 in fine). Dans son écrit, la recourante se limite au demeurant à indiquer les circonstances qui ont entouré les infractions qui lui sont reprochées, notamment en soulignant qu’elle ne faisait pas usage de stupéfiants au moment où elle a été arrêtée, mais qu’elle consommait une tisane pour la détente acquise légalement à B.________. Elle a également précisé qu’elle avait suspendu l’usage de cette tisane et souhaitait que les procédures cessent ou à tout le moins qu’elle soit entendue ou soumise à de nouveaux examens pour prouver sa bonne foi. Ce faisant, elle ne discute pas formellement le motif retenu par le Ministère public, ni n'indique en quoi ce dernier aurait méconnu le droit, respectivement dans quelle mesure son ordonnance serait erronée. Il appert ainsi que la recourante se méprend sur la portée de la décision attaquée qui ne concernait que les examens de sang et d’urine et pas encore une éventuelle condamnation. Partant, le recours doit être déclaré irrecevable faute d’intérêt juridiquement protégé et de motivation, sans procédure de régularisation.</w:t>
      </w:r>
    </w:p>
    <w:p>
      <w:r>
        <w:t>Tribunal cantonal TC Page 4 de 4</w:t>
      </w:r>
    </w:p>
    <w:p>
      <w:r>
        <w:rPr>
          <w:b/>
        </w:rPr>
        <w:t>E. 2</w:t>
      </w:r>
    </w:p>
    <w:p>
      <w:r>
        <w:t>Au vu de l’issue du recours, les frais, fixés à CHF 150.- (émolument: CHF 100.-; débours: CHF 50.-), sont mis à la charge de A.________ qui succombe (art. 428 al. 1 CPP; art. 33 al. 2, 35 et 43 du règlement sur la justice [RSF 130.11; RJ]). la Chambre arrête : I. Le recours est irrecevable. II. Les frais de la procédure de recours, fixés à CHF 150.- (émolument: CHF 100.- ;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mai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