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27 vom 2. Juni 2020</w:t>
      </w:r>
    </w:p>
    <w:p>
      <w:r>
        <w:t>FR Kantonsgericht, 2020-06-02, FR</w:t>
      </w:r>
    </w:p>
    <w:p>
      <w:r>
        <w:rPr>
          <w:b/>
        </w:rPr>
        <w:t xml:space="preserve">Quelle: </w:t>
      </w:r>
      <w:r>
        <w:t>https://mcp.opencaselaw.ch/entscheid/fr_gerichte_502_2020_27</w:t>
      </w:r>
    </w:p>
    <w:p>
      <w:r>
        <w:t>FR: FR_GERICHTE 502 2020 27 du 2 juin 2020</w:t>
      </w:r>
    </w:p>
    <w:p>
      <w:r>
        <w:t>IT: FR_GERICHTE 502 2020 27 del 2 giugno 2020</w:t>
      </w:r>
    </w:p>
    <w:p>
      <w:pPr>
        <w:pStyle w:val="Heading2"/>
      </w:pPr>
      <w:r>
        <w:t>Regeste</w:t>
      </w:r>
    </w:p>
    <w:p>
      <w:r>
        <w:t>Arrêt de la Chambre pénale du Tribunal cantonal | Nichtanhandnahme (Art. 310 StPO)</w:t>
      </w:r>
    </w:p>
    <w:p>
      <w:pPr>
        <w:pStyle w:val="Heading2"/>
      </w:pPr>
      <w:r>
        <w:t>Erwägungen</w:t>
      </w:r>
    </w:p>
    <w:p>
      <w:r>
        <w:rPr>
          <w:b/>
        </w:rPr>
        <w:t>E. 16</w:t>
      </w:r>
    </w:p>
    <w:p>
      <w:r>
        <w:t>mars 2020, il a requis d’être mis au bénéfice de l’assistance judiciaire. D. Invité à se déterminer, le Ministère public a, par courrier du 14 mai 2020, conclu au rejet du recours, avec suite de frais. Il a remis son dossier. en droit 1. 1.1. Les parties peuvent attaquer les décisions et les actes de procédure rendus par le Ministère public (art. 393 al. 1 let. a CPP [Code de procédure pénale suisse du 5 octobre 2007, RS 312.0]) dans les dix jours devant l’autorité de recours (art. 322 al. 2 CPP en relation avec l’art. 310 al. 2 CPP, art. 396 al. 1 CPP; cf. art. 20 al. 1 let. b CPP), qui, dans le canton de Fribourg, est la Chambre pénale du Tribunal cantonal (art. 85 al. 1 LJ [loi sur la justice du 31 mai 2010, RSF 130.1]). 1.2. Le recours fait l'objet d'une procédure écrite (art. 397 al. 1 CPP). 1.3. Bien que le recourant ne l’ait pas formellement demandé, il y a lieu de souligner que les membres de la Chambre pénale n’ont pas à se récuser in casu quand bien même la procédure vise également B.________, juge cantonal. En effet, de simples rapports collégiaux, en l’absence d’indice de partialité, sont insuffisants pour justifier une récusation (PC CPP, 2e éd. 2016, art. 56 n. 28 et la jurisprudence citée). Par ailleurs, à eux seuls, les liens ou affinités existants entre un juge ou d’autres personnes exerçant la même profession, actives dans la même institution publique, ne suffisent pas à justifier la suspicion de partialité dès lors que la personne élue ou nommée à une fonction judiciaire est censée être capable de prendre le recul nécessaire par</w:t>
      </w:r>
    </w:p>
    <w:p>
      <w:r>
        <w:t>Tribunal cantonal TC Page 3 de 4 rapports à de tels liens ou affinités, et de se prononcer objectivement sur le litige qui divise les parties (PC CPP, art. 56 n. 27 et la jurisprudence citée). 1.4. 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art. 385 n.1).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le recourant se borne essentiellement à répéter le contenu des plaintes pénales déposées les 15 février 2019 et 18 mars 2019. Ce faisant, il ne discute pas les motifs retenus par le Ministère public à savoir que les faits dénoncés excluent la violation d’une norme pénale par les personnes visées. On comprend bien qu’il n’est pas d’accord avec l’ordonnance attaquée, mais il n’en discute pas les motifs, ni n’indique en quoi le Ministère public aurait méconnu le droit, respectivement dans quelle mesure sa décision serait erronée. A ce stade, il importe encore de signaler au recourant que, d’une part, le droit pénal vise à sanctionner des infractions clairement définies par la loi et que tout comportement perçu comme erroné ne constitue pas une infraction, et que, d’autre part, il n’appartient pas au juge pénal de contrôler le bienfondé des décisions administratives. Partant, le recours, ne remplissant pas les exigences minimales de motivation, doit être déclaré irrecevable, sans procédure de régularisation. 2. 2.1 Le recourant requiert d'être mis au bénéfice de l’assistance judiciaire pour la procédure de recours. Au stade du recours, les chances de succès entrent également en considération pour l'examen de cette requête. Au vu des arguments avancés, le recours se révèle dénué de toutes chances de succès. Il s'ensuit que la requête sera rejetée.</w:t>
      </w:r>
    </w:p>
    <w:p>
      <w:r>
        <w:t>Tribunal cantonal TC Page 4 de 4 2.2 Les frais de la procédure de recours, fixés à CHF 150.- (émolument: CHF 100.-; débours: CHF 50.-), sont mis à la charge du recourant qui succombe (art. 428 al. 1 CPP). Les intimés n’ayant pas été appelés à se déterminer, il n’y a pas lieu à accorder d’indemnité. la Chambre arrête : I. Le recours est irrecevable. II. La requête d’assistance judiciaire pour la procédure de recours est rejetée. III. Les frais de la procédure de recours, fixés à CHF 150.- (émolument: CHF 100.-; débours: CHF 50.-), sont mis à la charge de A.________. IV. Aucune indemnité n’est accordée.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juin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