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264 vom 1. Februar 2021</w:t>
      </w:r>
    </w:p>
    <w:p>
      <w:r>
        <w:t>FR Kantonsgericht, 2021-02-01, FR</w:t>
      </w:r>
    </w:p>
    <w:p>
      <w:r>
        <w:rPr>
          <w:b/>
        </w:rPr>
        <w:t xml:space="preserve">Quelle: </w:t>
      </w:r>
      <w:r>
        <w:t>https://mcp.opencaselaw.ch/entscheid/fr_gerichte_502_2020_264</w:t>
      </w:r>
    </w:p>
    <w:p>
      <w:r>
        <w:t>FR: FR_GERICHTE 502 2020 264 du 1 février 2021</w:t>
      </w:r>
    </w:p>
    <w:p>
      <w:r>
        <w:t>IT: FR_GERICHTE 502 2020 264 del 1 febbraio 2021</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de la police, du ministère public et des autorités pénales compétentes en matière de contraventions (art. 393 al. 1 let. a CPP et 85 al. 1 LJ).</w:t>
      </w:r>
    </w:p>
    <w:p>
      <w:r>
        <w:rPr>
          <w:b/>
        </w:rPr>
        <w:t>E. 1.2</w:t>
      </w:r>
    </w:p>
    <w:p>
      <w:r>
        <w:t>Selon l’art. 396 al. 1 CPP, le recours est adressé par écrit, dans le délai de dix jours, à l’autorité de recours. Déposé le 11 décembre 2020 contre une décision du Ministère public du</w:t>
      </w:r>
    </w:p>
    <w:p>
      <w:r>
        <w:rPr>
          <w:b/>
        </w:rPr>
        <w:t>E. 1.3</w:t>
      </w:r>
    </w:p>
    <w:p>
      <w:r>
        <w:t>Ayant un intérêt juridiquement protégé à l’annulation ou à la modification de la décision attaquée, A.________ a indéniablement qualité pour recourir (art. 382 al. 1 CPP).</w:t>
      </w:r>
    </w:p>
    <w:p>
      <w:r>
        <w:rPr>
          <w:b/>
        </w:rPr>
        <w:t>E. 1.4</w:t>
      </w:r>
    </w:p>
    <w:p>
      <w:r>
        <w:t>Le recours fait l’objet d’une procédure écrite (art. 397 al. 1 CPP).</w:t>
      </w:r>
    </w:p>
    <w:p>
      <w:r>
        <w:t>Tribunal cantonal TC Page 3 de 4 2. 2.1.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 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2.2. En l’occurrence, le recourant se borne à exposer son point de vue et indique qu’il n’est pas d’accord avec le fait qu’il aurait été incapable de conduire dès lors qu’il ne conduisait pas et que sa voiture était parquée devant le restaurant où il travaillait. Il ne dit pas ce qu’il veut par son recours, ne s’en prend ainsi pas aux motifs qui ont amené au prononcé de la décision attaquée, ni ne prend de conclusion. 2.3. Partant, le recours devra être déclaré irrecevable dans la mesure où il ne respecte pas les exigences de motivation telles que rapportées ci-devant (cf. consid. 2.1). 3. Même à admettre que le recours aurait été recevable, il aurait dû être rejeté. En effet, d’une part, les agents ont constaté que le recourant conduisait de manière hésitante et avait le teint blême. D’autre part, le recourant, bien qu’il indique n’avoir pas été informé de ses droits, a accepté qu’une prise de sang et d’urine soit effectuée.</w:t>
      </w:r>
    </w:p>
    <w:p>
      <w:r>
        <w:rPr>
          <w:b/>
        </w:rPr>
        <w:t>E. 4</w:t>
      </w:r>
    </w:p>
    <w:p>
      <w:r>
        <w:t>Les frais de la procédure de recours, arrêtés à CHF 300.- (émolument: CHF 250.-; débours: CHF 50.-), seront à la charge du recourant qui succombe (art. 428 al. 1 CPP).</w:t>
      </w:r>
    </w:p>
    <w:p>
      <w:r>
        <w:t>Tribunal cantonal TC Page 4 de 4 la Chambre arrête : I. Le recours est irrecevable. II. Les frais de la procédure de recours, arrêtés à CHF 300.- (émolument: CHF 250.-;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février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