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237 vom 11. Januar 2021</w:t>
      </w:r>
    </w:p>
    <w:p>
      <w:r>
        <w:t>FR Kantonsgericht, 2021-01-11, FR</w:t>
      </w:r>
    </w:p>
    <w:p>
      <w:r>
        <w:rPr>
          <w:b/>
        </w:rPr>
        <w:t xml:space="preserve">Quelle: </w:t>
      </w:r>
      <w:r>
        <w:t>https://mcp.opencaselaw.ch/entscheid/fr_gerichte_502_2020_237</w:t>
      </w:r>
    </w:p>
    <w:p>
      <w:r>
        <w:t>FR: FR_GERICHTE 502 2020 237 du 11 janvier 2021</w:t>
      </w:r>
    </w:p>
    <w:p>
      <w:r>
        <w:t>IT: FR_GERICHTE 502 2020 237 del 11 gennaio 2021</w:t>
      </w:r>
    </w:p>
    <w:p>
      <w:pPr>
        <w:pStyle w:val="Heading2"/>
      </w:pPr>
      <w:r>
        <w:t>Regeste</w:t>
      </w:r>
    </w:p>
    <w:p>
      <w:r>
        <w:t>Arrêt de la Chambre pénale du Tribunal cantonal | Nichtanhandnahme (Art. 310 StPO)</w:t>
      </w:r>
    </w:p>
    <w:p>
      <w:pPr>
        <w:pStyle w:val="Heading2"/>
      </w:pPr>
      <w:r>
        <w:t>Erwägungen</w:t>
      </w:r>
    </w:p>
    <w:p>
      <w:r>
        <w:rPr>
          <w:b/>
        </w:rPr>
        <w:t>E. 1</w:t>
      </w:r>
    </w:p>
    <w:p>
      <w:r>
        <w:t>de la loi sur la justice du 31 mai 2010 [LJ; RSF 130.1]).</w:t>
      </w:r>
    </w:p>
    <w:p>
      <w:r>
        <w:rPr>
          <w:b/>
        </w:rPr>
        <w:t>E. 1.1</w:t>
      </w:r>
    </w:p>
    <w:p>
      <w:r>
        <w:t>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(art. 85 al.</w:t>
      </w:r>
    </w:p>
    <w:p>
      <w:r>
        <w:rPr>
          <w:b/>
        </w:rPr>
        <w:t>E. 1.2</w:t>
      </w:r>
    </w:p>
    <w:p>
      <w:r>
        <w:t>Le recours fait l'objet d'une procédure écrite (art. 397 al. 1 CPP).</w:t>
      </w:r>
    </w:p>
    <w:p>
      <w:r>
        <w:rPr>
          <w:b/>
        </w:rPr>
        <w:t>E. 1.3</w:t>
      </w:r>
    </w:p>
    <w:p>
      <w:r>
        <w:t>Le délai de recours est de dix jours et commence à courir le lendemain du jour de la notification de la décision attaquée (art. 396 et 90 al. 1 CPP). In casu, le recours déposé le 20 novembre 2020 contre l'ordonnance du Ministère public du 9 novembre 2020, notifiée le 10 novembre 2020, respecte ce délai.</w:t>
      </w:r>
    </w:p>
    <w:p>
      <w:r>
        <w:rPr>
          <w:b/>
        </w:rPr>
        <w:t>E. 1.4</w:t>
      </w:r>
    </w:p>
    <w:p>
      <w:r>
        <w:t>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w:t>
      </w:r>
    </w:p>
    <w:p>
      <w:r>
        <w:t>Tribunal cantonal TC Page 3 de 3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la recourante se limite à retranscrire les faits invoqués à l’appui de sa plainte pénale du 26 mai 2020 en y joignant plusieurs documents. Ce faisant, elle ne discute pas les motifs retenus par le Ministère public, ni n'explique en quoi celui-ci aurait méconnu le droit, respectivement dans quelle mesure son ordonnance serait erronée. Au surplus, la recourante ne prend aucune conclusion. Partant, le recours, ne remplissant pas les exigences minimales de motivation, doit être déclaré irrecevable, sans procédure de régularisation.</w:t>
      </w:r>
    </w:p>
    <w:p>
      <w:r>
        <w:rPr>
          <w:b/>
        </w:rPr>
        <w:t>E. 2</w:t>
      </w:r>
    </w:p>
    <w:p>
      <w:r>
        <w:t>Au vu de l’issue du recours, les frais, fixés à CHF 150.- (émolument: CHF 100.-; débours: CHF 50.-), sont mis à la charge de A.________ qui succombe (art. 428 al. 1 CPP; art. 33 al. 2, 35 et 43 du règlement sur la justice [RJ; RSF 130.11]). Ils seront prélevés sur les sûretés fournies, le solde par CHF 350.- étant restitué à A.________. Il n’est pas alloué d’indemnité à B.________ qui n’a pas été appelé à se déterminer. la Chambre arrête : I. Le recours est irrecevable. II. Les frais de la procédure de recours, fixés à CHF 150.- (émolument: CHF 100.-; débours: CHF 50.-), sont mis à la charge de A.________ et sont prélevés sur les sûretés fournies, le solde par CHF 350.- lui étant restitué.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janvier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